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CA65A" w14:textId="7EE4B31E" w:rsidR="00BB36E4" w:rsidRPr="0029430B" w:rsidRDefault="00BB36E4" w:rsidP="00BB36E4">
      <w:pPr>
        <w:pStyle w:val="3GPPHeader"/>
        <w:spacing w:after="60"/>
        <w:rPr>
          <w:sz w:val="32"/>
          <w:szCs w:val="32"/>
          <w:lang w:val="en-AU"/>
        </w:rPr>
      </w:pPr>
      <w:r w:rsidRPr="0029430B">
        <w:rPr>
          <w:lang w:val="en-AU"/>
        </w:rPr>
        <w:t>3GPP TSG-RAN WG1 Meeting #94</w:t>
      </w:r>
      <w:r w:rsidRPr="0029430B">
        <w:rPr>
          <w:lang w:val="en-AU"/>
        </w:rPr>
        <w:tab/>
      </w:r>
      <w:r w:rsidRPr="0029430B">
        <w:rPr>
          <w:sz w:val="32"/>
          <w:szCs w:val="32"/>
          <w:lang w:val="en-AU"/>
        </w:rPr>
        <w:t xml:space="preserve"> </w:t>
      </w:r>
      <w:bookmarkStart w:id="0" w:name="_GoBack"/>
      <w:r w:rsidRPr="0029430B">
        <w:rPr>
          <w:lang w:val="en-AU"/>
        </w:rPr>
        <w:t>R1</w:t>
      </w:r>
      <w:r w:rsidR="00216425">
        <w:rPr>
          <w:lang w:val="en-AU"/>
        </w:rPr>
        <w:t>-</w:t>
      </w:r>
      <w:r w:rsidR="00216425" w:rsidRPr="00216425">
        <w:rPr>
          <w:lang w:val="en-AU"/>
        </w:rPr>
        <w:t>1809411</w:t>
      </w:r>
      <w:bookmarkEnd w:id="0"/>
      <w:r w:rsidRPr="0029430B">
        <w:rPr>
          <w:lang w:val="en-AU"/>
        </w:rPr>
        <w:br/>
      </w:r>
      <w:proofErr w:type="spellStart"/>
      <w:r w:rsidRPr="0029430B">
        <w:rPr>
          <w:lang w:val="en-AU"/>
        </w:rPr>
        <w:t>Göteborg</w:t>
      </w:r>
      <w:proofErr w:type="spellEnd"/>
      <w:r w:rsidRPr="0029430B">
        <w:rPr>
          <w:lang w:val="en-AU"/>
        </w:rPr>
        <w:t>, Sweden, August 20</w:t>
      </w:r>
      <w:r w:rsidRPr="0029430B">
        <w:rPr>
          <w:vertAlign w:val="superscript"/>
          <w:lang w:val="en-AU"/>
        </w:rPr>
        <w:t>th</w:t>
      </w:r>
      <w:r w:rsidRPr="0029430B">
        <w:rPr>
          <w:lang w:val="en-AU"/>
        </w:rPr>
        <w:t xml:space="preserve"> – 24</w:t>
      </w:r>
      <w:r w:rsidRPr="0029430B">
        <w:rPr>
          <w:vertAlign w:val="superscript"/>
          <w:lang w:val="en-AU"/>
        </w:rPr>
        <w:t>th</w:t>
      </w:r>
      <w:r w:rsidRPr="0029430B">
        <w:rPr>
          <w:lang w:val="en-AU"/>
        </w:rPr>
        <w:t xml:space="preserve"> 2018</w:t>
      </w:r>
    </w:p>
    <w:p w14:paraId="74D5F4D6" w14:textId="77777777" w:rsidR="005D126B" w:rsidRPr="0029430B" w:rsidRDefault="005D126B" w:rsidP="005D126B">
      <w:pPr>
        <w:pStyle w:val="3GPPHeader"/>
        <w:rPr>
          <w:lang w:val="en-AU"/>
        </w:rPr>
      </w:pPr>
    </w:p>
    <w:p w14:paraId="4F1EB857" w14:textId="77777777" w:rsidR="005D126B" w:rsidRPr="0029430B" w:rsidRDefault="005D126B" w:rsidP="005D126B">
      <w:pPr>
        <w:pStyle w:val="3GPPHeader"/>
        <w:rPr>
          <w:lang w:val="en-AU"/>
        </w:rPr>
      </w:pPr>
      <w:r w:rsidRPr="0029430B">
        <w:rPr>
          <w:lang w:val="en-AU"/>
        </w:rPr>
        <w:t>Source:</w:t>
      </w:r>
      <w:r w:rsidRPr="0029430B">
        <w:rPr>
          <w:lang w:val="en-AU"/>
        </w:rPr>
        <w:tab/>
        <w:t>Ericsson</w:t>
      </w:r>
    </w:p>
    <w:p w14:paraId="6892D285" w14:textId="1D4FDC1A" w:rsidR="005D126B" w:rsidRPr="0029430B" w:rsidRDefault="005D126B" w:rsidP="005D126B">
      <w:pPr>
        <w:pStyle w:val="3GPPHeader"/>
        <w:rPr>
          <w:lang w:val="en-AU"/>
        </w:rPr>
      </w:pPr>
      <w:r w:rsidRPr="0029430B">
        <w:rPr>
          <w:lang w:val="en-AU"/>
        </w:rPr>
        <w:t>Title:</w:t>
      </w:r>
      <w:r w:rsidRPr="0029430B">
        <w:rPr>
          <w:lang w:val="en-AU"/>
        </w:rPr>
        <w:tab/>
      </w:r>
      <w:r w:rsidR="00E37A4C" w:rsidRPr="0029430B">
        <w:rPr>
          <w:lang w:val="en-AU"/>
        </w:rPr>
        <w:t>PUSCH power scaling in UL power control</w:t>
      </w:r>
    </w:p>
    <w:p w14:paraId="63A32E40" w14:textId="1B965954" w:rsidR="005D126B" w:rsidRPr="0029430B" w:rsidRDefault="005D126B" w:rsidP="005D126B">
      <w:pPr>
        <w:pStyle w:val="3GPPHeader"/>
        <w:rPr>
          <w:lang w:val="en-AU"/>
        </w:rPr>
      </w:pPr>
      <w:r w:rsidRPr="0029430B">
        <w:rPr>
          <w:lang w:val="en-AU"/>
        </w:rPr>
        <w:t>Agenda Item:</w:t>
      </w:r>
      <w:r w:rsidRPr="0029430B">
        <w:rPr>
          <w:lang w:val="en-AU"/>
        </w:rPr>
        <w:tab/>
        <w:t>7.1.</w:t>
      </w:r>
      <w:r w:rsidR="007B2962">
        <w:rPr>
          <w:lang w:val="en-AU"/>
        </w:rPr>
        <w:t>8</w:t>
      </w:r>
    </w:p>
    <w:p w14:paraId="063249B6" w14:textId="77777777" w:rsidR="005D126B" w:rsidRPr="0029430B" w:rsidRDefault="005D126B" w:rsidP="005D126B">
      <w:pPr>
        <w:pStyle w:val="3GPPHeader"/>
        <w:rPr>
          <w:lang w:val="en-AU"/>
        </w:rPr>
      </w:pPr>
      <w:r w:rsidRPr="0029430B">
        <w:rPr>
          <w:lang w:val="en-AU"/>
        </w:rPr>
        <w:t>Document for:</w:t>
      </w:r>
      <w:r w:rsidRPr="0029430B">
        <w:rPr>
          <w:lang w:val="en-AU"/>
        </w:rPr>
        <w:tab/>
        <w:t>Discussion and Decision</w:t>
      </w:r>
    </w:p>
    <w:p w14:paraId="72B2365A" w14:textId="3959F3C7" w:rsidR="00E90E49" w:rsidRPr="0029430B" w:rsidRDefault="007F75D5" w:rsidP="00CE0424">
      <w:pPr>
        <w:pStyle w:val="Heading1"/>
      </w:pPr>
      <w:r w:rsidRPr="0029430B">
        <w:t>Introduction</w:t>
      </w:r>
    </w:p>
    <w:p w14:paraId="55787B86" w14:textId="31DA248C" w:rsidR="00DD61F7" w:rsidRPr="0029430B" w:rsidRDefault="00333ECB" w:rsidP="00760BD3">
      <w:pPr>
        <w:pStyle w:val="BodyText"/>
        <w:rPr>
          <w:lang w:val="en-AU"/>
        </w:rPr>
      </w:pPr>
      <w:r>
        <w:rPr>
          <w:lang w:val="en-AU"/>
        </w:rPr>
        <w:t>The introduction of coherence capabilities and non-</w:t>
      </w:r>
      <w:proofErr w:type="gramStart"/>
      <w:r>
        <w:rPr>
          <w:lang w:val="en-AU"/>
        </w:rPr>
        <w:t>codebook based</w:t>
      </w:r>
      <w:proofErr w:type="gramEnd"/>
      <w:r>
        <w:rPr>
          <w:lang w:val="en-AU"/>
        </w:rPr>
        <w:t xml:space="preserve"> precoding make PUSCH power scaling for NR more complicated than for LTE.  Since UE architectures are quite sensitive to PUSCH power scaling requirements, it is necessary that PUSCH power scaling be clearly specified as well as work for the new varieties of UL MIMO in NR.  However, since the current power scaling in NR is essentially that used by LTE, there is ambiguity in how the scaling works and to what extent different </w:t>
      </w:r>
      <w:r w:rsidR="0065322C">
        <w:rPr>
          <w:lang w:val="en-AU"/>
        </w:rPr>
        <w:t xml:space="preserve">UE power amplifier implementations are supported.  In this contribution, we propose a correction to the current specifications that supports </w:t>
      </w:r>
      <w:r w:rsidR="00C71A38">
        <w:rPr>
          <w:lang w:val="en-AU"/>
        </w:rPr>
        <w:t xml:space="preserve">the </w:t>
      </w:r>
      <w:r w:rsidR="0065322C">
        <w:rPr>
          <w:lang w:val="en-AU"/>
        </w:rPr>
        <w:t xml:space="preserve">UE power amplifier configurations with reduced power on some Tx chains that are anticipated for NR in Rel-15.  Full power UE implementations can then be supported by a feature included in the Rel-16 NR </w:t>
      </w:r>
      <w:r>
        <w:rPr>
          <w:lang w:val="en-AU"/>
        </w:rPr>
        <w:t xml:space="preserve">UL MIMO </w:t>
      </w:r>
      <w:r w:rsidR="0065322C">
        <w:rPr>
          <w:lang w:val="en-AU"/>
        </w:rPr>
        <w:t>work item</w:t>
      </w:r>
      <w:r w:rsidR="00FE4E16">
        <w:rPr>
          <w:lang w:val="en-AU"/>
        </w:rPr>
        <w:t xml:space="preserve"> [2]</w:t>
      </w:r>
      <w:r w:rsidR="0065322C">
        <w:rPr>
          <w:lang w:val="en-AU"/>
        </w:rPr>
        <w:t>.</w:t>
      </w:r>
      <w:r w:rsidR="0058770A">
        <w:rPr>
          <w:lang w:val="en-AU"/>
        </w:rPr>
        <w:t xml:space="preserve">  A text proposal is provided for the Rel-15 correction.</w:t>
      </w:r>
    </w:p>
    <w:p w14:paraId="6039C059" w14:textId="0A88390E" w:rsidR="00DD61F7" w:rsidRPr="0029430B" w:rsidRDefault="00DD61F7" w:rsidP="00DD61F7">
      <w:pPr>
        <w:pStyle w:val="Heading1"/>
      </w:pPr>
      <w:r w:rsidRPr="0029430B">
        <w:t>Impact of UE structure on PUSCH power scaling</w:t>
      </w:r>
      <w:r w:rsidR="00CC0675" w:rsidRPr="0029430B">
        <w:t xml:space="preserve"> </w:t>
      </w:r>
    </w:p>
    <w:p w14:paraId="229512A4" w14:textId="15FAC42C" w:rsidR="00DD61F7" w:rsidRPr="0029430B" w:rsidRDefault="00DD61F7" w:rsidP="00DD61F7">
      <w:pPr>
        <w:rPr>
          <w:lang w:val="en-GB" w:eastAsia="zh-CN"/>
        </w:rPr>
      </w:pPr>
      <w:r w:rsidRPr="0029430B">
        <w:rPr>
          <w:lang w:val="en-GB" w:eastAsia="zh-CN"/>
        </w:rPr>
        <w:t xml:space="preserve">In </w:t>
      </w:r>
      <w:r w:rsidRPr="0029430B">
        <w:rPr>
          <w:lang w:val="en-GB" w:eastAsia="zh-CN"/>
        </w:rPr>
        <w:fldChar w:fldCharType="begin"/>
      </w:r>
      <w:r w:rsidRPr="0029430B">
        <w:rPr>
          <w:lang w:val="en-GB" w:eastAsia="zh-CN"/>
        </w:rPr>
        <w:instrText xml:space="preserve"> REF _Ref515880457 \h </w:instrText>
      </w:r>
      <w:r w:rsidR="0029430B">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 we have illustrated </w:t>
      </w:r>
      <w:r w:rsidR="00CC0675" w:rsidRPr="0029430B">
        <w:rPr>
          <w:lang w:val="en-GB" w:eastAsia="zh-CN"/>
        </w:rPr>
        <w:t>two</w:t>
      </w:r>
      <w:r w:rsidRPr="0029430B">
        <w:rPr>
          <w:lang w:val="en-GB" w:eastAsia="zh-CN"/>
        </w:rPr>
        <w:t xml:space="preserve"> potential structures for a 4Tx UE. In </w:t>
      </w:r>
      <w:r w:rsidRPr="0029430B">
        <w:rPr>
          <w:lang w:val="en-GB" w:eastAsia="zh-CN"/>
        </w:rPr>
        <w:fldChar w:fldCharType="begin"/>
      </w:r>
      <w:r w:rsidRPr="0029430B">
        <w:rPr>
          <w:lang w:val="en-GB" w:eastAsia="zh-CN"/>
        </w:rPr>
        <w:instrText xml:space="preserve"> REF _Ref515880457 \h </w:instrText>
      </w:r>
      <w:r w:rsidR="0029430B">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(a) we have illustrated a UE with the capability to transmit </w:t>
      </w:r>
      <w:proofErr w:type="spellStart"/>
      <w:r w:rsidRPr="0029430B">
        <w:rPr>
          <w:lang w:val="en-GB" w:eastAsia="zh-CN"/>
        </w:rPr>
        <w:t>Pcmax</w:t>
      </w:r>
      <w:proofErr w:type="spellEnd"/>
      <w:r w:rsidRPr="0029430B">
        <w:rPr>
          <w:lang w:val="en-GB" w:eastAsia="zh-CN"/>
        </w:rPr>
        <w:t xml:space="preserve"> per antenna port and in </w:t>
      </w:r>
      <w:r w:rsidRPr="0029430B">
        <w:rPr>
          <w:lang w:val="en-GB" w:eastAsia="zh-CN"/>
        </w:rPr>
        <w:fldChar w:fldCharType="begin"/>
      </w:r>
      <w:r w:rsidRPr="0029430B">
        <w:rPr>
          <w:lang w:val="en-GB" w:eastAsia="zh-CN"/>
        </w:rPr>
        <w:instrText xml:space="preserve"> REF _Ref515880457 \h </w:instrText>
      </w:r>
      <w:r w:rsidR="0029430B">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(b) we have illustrated an alternative building practice where only one antenna port is able to transmit with </w:t>
      </w:r>
      <w:proofErr w:type="spellStart"/>
      <w:r w:rsidRPr="0029430B">
        <w:rPr>
          <w:lang w:val="en-GB" w:eastAsia="zh-CN"/>
        </w:rPr>
        <w:t>Pcmax</w:t>
      </w:r>
      <w:proofErr w:type="spellEnd"/>
      <w:r w:rsidRPr="0029430B">
        <w:rPr>
          <w:lang w:val="en-GB" w:eastAsia="zh-CN"/>
        </w:rPr>
        <w:t xml:space="preserve">; the other ports transmit with </w:t>
      </w:r>
      <w:proofErr w:type="spellStart"/>
      <w:r w:rsidRPr="0029430B">
        <w:rPr>
          <w:lang w:val="en-GB" w:eastAsia="zh-CN"/>
        </w:rPr>
        <w:t>Pcmax</w:t>
      </w:r>
      <w:proofErr w:type="spellEnd"/>
      <w:r w:rsidRPr="0029430B">
        <w:rPr>
          <w:lang w:val="en-GB" w:eastAsia="zh-CN"/>
        </w:rPr>
        <w:t>/4. We will refer to these structures as “full power UE” and “</w:t>
      </w:r>
      <w:proofErr w:type="gramStart"/>
      <w:r w:rsidRPr="0029430B">
        <w:rPr>
          <w:lang w:val="en-GB" w:eastAsia="zh-CN"/>
        </w:rPr>
        <w:t>non full</w:t>
      </w:r>
      <w:proofErr w:type="gramEnd"/>
      <w:r w:rsidRPr="0029430B">
        <w:rPr>
          <w:lang w:val="en-GB" w:eastAsia="zh-CN"/>
        </w:rPr>
        <w:t xml:space="preserve"> power UE” in the following analysis since the second UE structure only can transmit full power </w:t>
      </w:r>
      <w:proofErr w:type="spellStart"/>
      <w:r w:rsidRPr="0029430B">
        <w:rPr>
          <w:lang w:val="en-GB" w:eastAsia="zh-CN"/>
        </w:rPr>
        <w:t>Pcmax</w:t>
      </w:r>
      <w:proofErr w:type="spellEnd"/>
      <w:r w:rsidRPr="0029430B">
        <w:rPr>
          <w:lang w:val="en-GB" w:eastAsia="zh-CN"/>
        </w:rPr>
        <w:t xml:space="preserve"> for certain precoders. Consider for instance the precoder [0 1 0 0]; such a precoder could not transmit </w:t>
      </w:r>
      <w:proofErr w:type="spellStart"/>
      <w:r w:rsidRPr="0029430B">
        <w:rPr>
          <w:lang w:val="en-GB" w:eastAsia="zh-CN"/>
        </w:rPr>
        <w:t>Pcmax</w:t>
      </w:r>
      <w:proofErr w:type="spellEnd"/>
      <w:r w:rsidRPr="0029430B">
        <w:rPr>
          <w:lang w:val="en-GB" w:eastAsia="zh-CN"/>
        </w:rPr>
        <w:t xml:space="preserve"> with the non-full power UE whereas a full power UE could transmit this precoder with full power </w:t>
      </w:r>
      <w:proofErr w:type="spellStart"/>
      <w:r w:rsidRPr="0029430B">
        <w:rPr>
          <w:lang w:val="en-GB" w:eastAsia="zh-CN"/>
        </w:rPr>
        <w:t>Pcmax</w:t>
      </w:r>
      <w:proofErr w:type="spellEnd"/>
      <w:r w:rsidRPr="0029430B">
        <w:rPr>
          <w:lang w:val="en-GB" w:eastAsia="zh-CN"/>
        </w:rPr>
        <w:t xml:space="preserve">. </w:t>
      </w:r>
    </w:p>
    <w:p w14:paraId="4BF8DE2A" w14:textId="77777777" w:rsidR="00DD61F7" w:rsidRPr="0029430B" w:rsidRDefault="00DD61F7" w:rsidP="0011429F">
      <w:pPr>
        <w:spacing w:after="0"/>
        <w:rPr>
          <w:b/>
          <w:lang w:val="en-AU"/>
        </w:rPr>
      </w:pPr>
      <w:r w:rsidRPr="0029430B">
        <w:rPr>
          <w:b/>
          <w:u w:val="single"/>
          <w:lang w:val="en-AU"/>
        </w:rPr>
        <w:t>Observation</w:t>
      </w:r>
      <w:r w:rsidRPr="0029430B">
        <w:rPr>
          <w:b/>
          <w:lang w:val="en-AU"/>
        </w:rPr>
        <w:t xml:space="preserve">: </w:t>
      </w:r>
    </w:p>
    <w:p w14:paraId="256FE121" w14:textId="7C52BF89" w:rsidR="00DD61F7" w:rsidRPr="0029430B" w:rsidRDefault="00DD61F7" w:rsidP="00DD61F7">
      <w:pPr>
        <w:pStyle w:val="ListParagraph"/>
        <w:numPr>
          <w:ilvl w:val="0"/>
          <w:numId w:val="35"/>
        </w:numPr>
        <w:rPr>
          <w:rFonts w:asciiTheme="minorHAnsi" w:hAnsiTheme="minorHAnsi"/>
          <w:lang w:val="en-AU"/>
        </w:rPr>
      </w:pPr>
      <w:r w:rsidRPr="0029430B">
        <w:rPr>
          <w:rFonts w:asciiTheme="minorHAnsi" w:hAnsiTheme="minorHAnsi"/>
          <w:lang w:val="en-GB" w:eastAsia="zh-CN"/>
        </w:rPr>
        <w:t xml:space="preserve">The underlying assumption on a UE’s antenna port capabilities, in terms of maximal transmitted power per antenna port, will have an impact on the PUSCH power scaling in the UL power control.  </w:t>
      </w:r>
    </w:p>
    <w:p w14:paraId="501C69BB" w14:textId="77777777" w:rsidR="00DD61F7" w:rsidRPr="0029430B" w:rsidRDefault="00DD61F7" w:rsidP="0011429F">
      <w:pPr>
        <w:keepNext/>
        <w:spacing w:after="0"/>
        <w:jc w:val="center"/>
        <w:rPr>
          <w:lang w:val="en-GB" w:eastAsia="zh-CN"/>
        </w:rPr>
      </w:pPr>
      <w:r w:rsidRPr="0029430B">
        <w:rPr>
          <w:noProof/>
          <w:lang w:val="en-GB" w:eastAsia="zh-CN"/>
        </w:rPr>
        <w:lastRenderedPageBreak/>
        <w:drawing>
          <wp:inline distT="0" distB="0" distL="0" distR="0" wp14:anchorId="0FA783BF" wp14:editId="2875ED63">
            <wp:extent cx="2800589" cy="1521911"/>
            <wp:effectExtent l="0" t="0" r="0" b="254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0007" cy="1532463"/>
                    </a:xfrm>
                    <a:prstGeom prst="rect">
                      <a:avLst/>
                    </a:prstGeom>
                    <a:noFill/>
                  </pic:spPr>
                </pic:pic>
              </a:graphicData>
            </a:graphic>
          </wp:inline>
        </w:drawing>
      </w:r>
    </w:p>
    <w:p w14:paraId="6D11145B" w14:textId="77777777" w:rsidR="00DD61F7" w:rsidRPr="0029430B" w:rsidRDefault="00DD61F7" w:rsidP="00DD61F7">
      <w:pPr>
        <w:pStyle w:val="ListParagraph"/>
        <w:numPr>
          <w:ilvl w:val="0"/>
          <w:numId w:val="34"/>
        </w:numPr>
        <w:rPr>
          <w:lang w:val="en-GB" w:eastAsia="zh-CN"/>
        </w:rPr>
      </w:pPr>
      <w:r w:rsidRPr="0029430B">
        <w:rPr>
          <w:lang w:val="en-GB" w:eastAsia="zh-CN"/>
        </w:rPr>
        <w:t xml:space="preserve">                                   (b)                                           </w:t>
      </w:r>
    </w:p>
    <w:p w14:paraId="4346D6B4" w14:textId="77777777" w:rsidR="00DD61F7" w:rsidRPr="0029430B" w:rsidRDefault="00DD61F7" w:rsidP="00DD61F7">
      <w:pPr>
        <w:pStyle w:val="Caption"/>
        <w:rPr>
          <w:lang w:val="en-AU"/>
        </w:rPr>
      </w:pPr>
      <w:bookmarkStart w:id="1" w:name="_Ref515880457"/>
      <w:bookmarkStart w:id="2" w:name="_Ref515880452"/>
      <w:r w:rsidRPr="0029430B">
        <w:rPr>
          <w:lang w:val="en-AU"/>
        </w:rPr>
        <w:t xml:space="preserve">Figure </w:t>
      </w:r>
      <w:r w:rsidRPr="0029430B">
        <w:fldChar w:fldCharType="begin"/>
      </w:r>
      <w:r w:rsidRPr="0029430B">
        <w:rPr>
          <w:lang w:val="en-AU"/>
        </w:rPr>
        <w:instrText xml:space="preserve"> SEQ Figure \* ARABIC </w:instrText>
      </w:r>
      <w:r w:rsidRPr="0029430B">
        <w:fldChar w:fldCharType="separate"/>
      </w:r>
      <w:r w:rsidRPr="0029430B">
        <w:rPr>
          <w:noProof/>
          <w:lang w:val="en-AU"/>
        </w:rPr>
        <w:t>1</w:t>
      </w:r>
      <w:r w:rsidRPr="0029430B">
        <w:rPr>
          <w:noProof/>
        </w:rPr>
        <w:fldChar w:fldCharType="end"/>
      </w:r>
      <w:bookmarkEnd w:id="1"/>
      <w:r w:rsidRPr="0029430B">
        <w:rPr>
          <w:lang w:val="en-AU"/>
        </w:rPr>
        <w:t xml:space="preserve">. </w:t>
      </w:r>
      <w:bookmarkEnd w:id="2"/>
      <w:r w:rsidRPr="0029430B">
        <w:rPr>
          <w:lang w:val="en-AU"/>
        </w:rPr>
        <w:t xml:space="preserve">(a) Full power UE and (b) </w:t>
      </w:r>
      <w:proofErr w:type="gramStart"/>
      <w:r w:rsidRPr="0029430B">
        <w:rPr>
          <w:lang w:val="en-AU"/>
        </w:rPr>
        <w:t>non full</w:t>
      </w:r>
      <w:proofErr w:type="gramEnd"/>
      <w:r w:rsidRPr="0029430B">
        <w:rPr>
          <w:lang w:val="en-AU"/>
        </w:rPr>
        <w:t xml:space="preserve"> power UE. </w:t>
      </w:r>
    </w:p>
    <w:p w14:paraId="5145089A" w14:textId="31C7EC2A" w:rsidR="00DA18C5" w:rsidRPr="0029430B" w:rsidRDefault="001363D1" w:rsidP="00DA18C5">
      <w:pPr>
        <w:pStyle w:val="Heading1"/>
        <w:rPr>
          <w:lang w:val="en-US"/>
        </w:rPr>
      </w:pPr>
      <w:r>
        <w:rPr>
          <w:lang w:val="en-US"/>
        </w:rPr>
        <w:t>Correcting</w:t>
      </w:r>
      <w:r w:rsidR="00783465" w:rsidRPr="0029430B">
        <w:rPr>
          <w:lang w:val="en-US"/>
        </w:rPr>
        <w:t xml:space="preserve"> Rel-15 </w:t>
      </w:r>
      <w:r w:rsidR="00DA18C5" w:rsidRPr="0029430B">
        <w:rPr>
          <w:lang w:val="en-US"/>
        </w:rPr>
        <w:t xml:space="preserve">PUSCH power </w:t>
      </w:r>
      <w:r w:rsidR="00783465" w:rsidRPr="0029430B">
        <w:rPr>
          <w:lang w:val="en-US"/>
        </w:rPr>
        <w:t>scaling</w:t>
      </w:r>
    </w:p>
    <w:p w14:paraId="6067CBF8" w14:textId="5ACC2F3A" w:rsidR="00DA18C5" w:rsidRPr="0029430B" w:rsidRDefault="00DA18C5" w:rsidP="00DA18C5">
      <w:pPr>
        <w:rPr>
          <w:lang w:val="en-AU"/>
        </w:rPr>
      </w:pPr>
      <w:r w:rsidRPr="0029430B">
        <w:rPr>
          <w:noProof/>
        </w:rPr>
        <mc:AlternateContent>
          <mc:Choice Requires="wps">
            <w:drawing>
              <wp:anchor distT="45720" distB="45720" distL="114300" distR="114300" simplePos="0" relativeHeight="251661312" behindDoc="0" locked="0" layoutInCell="1" allowOverlap="1" wp14:anchorId="301F9D04" wp14:editId="47D765F7">
                <wp:simplePos x="0" y="0"/>
                <wp:positionH relativeFrom="margin">
                  <wp:align>left</wp:align>
                </wp:positionH>
                <wp:positionV relativeFrom="paragraph">
                  <wp:posOffset>239395</wp:posOffset>
                </wp:positionV>
                <wp:extent cx="6009640" cy="1323975"/>
                <wp:effectExtent l="0" t="0" r="1016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323975"/>
                        </a:xfrm>
                        <a:prstGeom prst="rect">
                          <a:avLst/>
                        </a:prstGeom>
                        <a:solidFill>
                          <a:srgbClr val="FFFFFF"/>
                        </a:solidFill>
                        <a:ln w="9525">
                          <a:solidFill>
                            <a:srgbClr val="000000"/>
                          </a:solidFill>
                          <a:miter lim="800000"/>
                          <a:headEnd/>
                          <a:tailEnd/>
                        </a:ln>
                      </wps:spPr>
                      <wps:txbx>
                        <w:txbxContent>
                          <w:p w14:paraId="014E3976" w14:textId="77777777" w:rsidR="00DA18C5" w:rsidRPr="00E37A4C" w:rsidRDefault="00DA18C5" w:rsidP="00DA18C5">
                            <w:pPr>
                              <w:rPr>
                                <w:lang w:val="en-AU"/>
                              </w:rPr>
                            </w:pPr>
                            <w:r w:rsidRPr="00E37A4C">
                              <w:rPr>
                                <w:lang w:val="en-AU"/>
                              </w:rPr>
                              <w:t xml:space="preserve">For PUSCH, a UE first scales a linear value </w:t>
                            </w:r>
                            <w:r>
                              <w:rPr>
                                <w:iCs/>
                                <w:position w:val="-12"/>
                              </w:rPr>
                              <w:object w:dxaOrig="1590" w:dyaOrig="375" w14:anchorId="76D78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9.55pt;height:18.4pt" o:ole="">
                                  <v:imagedata r:id="rId9" o:title=""/>
                                </v:shape>
                                <o:OLEObject Type="Embed" ProgID="Equation.3" ShapeID="_x0000_i1026" DrawAspect="Content" ObjectID="_1595447786" r:id="rId10"/>
                              </w:object>
                            </w:r>
                            <w:r w:rsidRPr="00E37A4C">
                              <w:rPr>
                                <w:iCs/>
                                <w:lang w:val="en-AU"/>
                              </w:rPr>
                              <w:t xml:space="preserve"> of the </w:t>
                            </w:r>
                            <w:r w:rsidRPr="00E37A4C">
                              <w:rPr>
                                <w:lang w:val="en-AU"/>
                              </w:rPr>
                              <w:t xml:space="preserve">transmit power </w:t>
                            </w:r>
                            <w:r>
                              <w:rPr>
                                <w:iCs/>
                                <w:position w:val="-12"/>
                              </w:rPr>
                              <w:object w:dxaOrig="1590" w:dyaOrig="330" w14:anchorId="4459D6AF">
                                <v:shape id="_x0000_i1028" type="#_x0000_t75" style="width:79.55pt;height:16.75pt" o:ole="">
                                  <v:imagedata r:id="rId11" o:title=""/>
                                </v:shape>
                                <o:OLEObject Type="Embed" ProgID="Equation.3" ShapeID="_x0000_i1028" DrawAspect="Content" ObjectID="_1595447787" r:id="rId12"/>
                              </w:object>
                            </w:r>
                            <w:r w:rsidRPr="00E37A4C">
                              <w:rPr>
                                <w:iCs/>
                                <w:lang w:val="en-AU"/>
                              </w:rPr>
                              <w:t xml:space="preserve"> </w:t>
                            </w:r>
                            <w:r w:rsidRPr="00E37A4C">
                              <w:rPr>
                                <w:lang w:val="en-AU"/>
                              </w:rPr>
                              <w:t xml:space="preserve">on UL BWP </w:t>
                            </w:r>
                            <w:r>
                              <w:rPr>
                                <w:iCs/>
                                <w:position w:val="-6"/>
                              </w:rPr>
                              <w:object w:dxaOrig="180" w:dyaOrig="240" w14:anchorId="458DD9CE">
                                <v:shape id="_x0000_i1030" type="#_x0000_t75" style="width:9.2pt;height:10.9pt" o:ole="">
                                  <v:imagedata r:id="rId13" o:title=""/>
                                </v:shape>
                                <o:OLEObject Type="Embed" ProgID="Equation.3" ShapeID="_x0000_i1030" DrawAspect="Content" ObjectID="_1595447788" r:id="rId14"/>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6DE992B1">
                                <v:shape id="_x0000_i1032" type="#_x0000_t75" style="width:10.05pt;height:15.05pt" o:ole="">
                                  <v:imagedata r:id="rId15" o:title=""/>
                                </v:shape>
                                <o:OLEObject Type="Embed" ProgID="Equation.3" ShapeID="_x0000_i1032" DrawAspect="Content" ObjectID="_1595447789" r:id="rId16"/>
                              </w:object>
                            </w:r>
                            <w:r w:rsidRPr="00E37A4C">
                              <w:rPr>
                                <w:iCs/>
                                <w:lang w:val="en-AU"/>
                              </w:rPr>
                              <w:t xml:space="preserve"> of </w:t>
                            </w:r>
                            <w:r w:rsidRPr="00E37A4C">
                              <w:rPr>
                                <w:lang w:val="en-AU"/>
                              </w:rPr>
                              <w:t xml:space="preserve">serving cell </w:t>
                            </w:r>
                            <w:r>
                              <w:rPr>
                                <w:iCs/>
                                <w:position w:val="-6"/>
                              </w:rPr>
                              <w:object w:dxaOrig="165" w:dyaOrig="210" w14:anchorId="34AD8EDB">
                                <v:shape id="_x0000_i1034" type="#_x0000_t75" style="width:8.35pt;height:10.05pt" o:ole="">
                                  <v:imagedata r:id="rId17" o:title=""/>
                                </v:shape>
                                <o:OLEObject Type="Embed" ProgID="Equation.3" ShapeID="_x0000_i1034" DrawAspect="Content" ObjectID="_1595447790" r:id="rId18"/>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30FF0570" w14:textId="77777777" w:rsidR="00DA18C5" w:rsidRPr="00E37A4C" w:rsidRDefault="00DA18C5" w:rsidP="00DA18C5">
                            <w:pPr>
                              <w:pStyle w:val="B2"/>
                              <w:tabs>
                                <w:tab w:val="num" w:pos="1440"/>
                              </w:tabs>
                              <w:ind w:left="0" w:firstLine="0"/>
                              <w:rPr>
                                <w:lang w:val="en-A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1F9D04" id="_x0000_t202" coordsize="21600,21600" o:spt="202" path="m,l,21600r21600,l21600,xe">
                <v:stroke joinstyle="miter"/>
                <v:path gradientshapeok="t" o:connecttype="rect"/>
              </v:shapetype>
              <v:shape id="Text Box 2" o:spid="_x0000_s1026" type="#_x0000_t202" style="position:absolute;margin-left:0;margin-top:18.85pt;width:473.2pt;height:104.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">
                <v:textbox>
                  <w:txbxContent>
                    <w:p w14:paraId="014E3976" w14:textId="77777777" w:rsidR="00DA18C5" w:rsidRPr="00E37A4C" w:rsidRDefault="00DA18C5" w:rsidP="00DA18C5">
                      <w:pPr>
                        <w:rPr>
                          <w:lang w:val="en-AU"/>
                        </w:rPr>
                      </w:pPr>
                      <w:r w:rsidRPr="00E37A4C">
                        <w:rPr>
                          <w:lang w:val="en-AU"/>
                        </w:rPr>
                        <w:t xml:space="preserve">For PUSCH, a UE first scales a linear value </w:t>
                      </w:r>
                      <w:r>
                        <w:rPr>
                          <w:iCs/>
                          <w:position w:val="-12"/>
                        </w:rPr>
                        <w:object w:dxaOrig="1590" w:dyaOrig="375" w14:anchorId="76D78017">
                          <v:shape id="_x0000_i1026" type="#_x0000_t75" style="width:79.55pt;height:18.4pt" o:ole="">
                            <v:imagedata r:id="rId9" o:title=""/>
                          </v:shape>
                          <o:OLEObject Type="Embed" ProgID="Equation.3" ShapeID="_x0000_i1026" DrawAspect="Content" ObjectID="_1595447786" r:id="rId19"/>
                        </w:object>
                      </w:r>
                      <w:r w:rsidRPr="00E37A4C">
                        <w:rPr>
                          <w:iCs/>
                          <w:lang w:val="en-AU"/>
                        </w:rPr>
                        <w:t xml:space="preserve"> of the </w:t>
                      </w:r>
                      <w:r w:rsidRPr="00E37A4C">
                        <w:rPr>
                          <w:lang w:val="en-AU"/>
                        </w:rPr>
                        <w:t xml:space="preserve">transmit power </w:t>
                      </w:r>
                      <w:r>
                        <w:rPr>
                          <w:iCs/>
                          <w:position w:val="-12"/>
                        </w:rPr>
                        <w:object w:dxaOrig="1590" w:dyaOrig="330" w14:anchorId="4459D6AF">
                          <v:shape id="_x0000_i1028" type="#_x0000_t75" style="width:79.55pt;height:16.75pt" o:ole="">
                            <v:imagedata r:id="rId11" o:title=""/>
                          </v:shape>
                          <o:OLEObject Type="Embed" ProgID="Equation.3" ShapeID="_x0000_i1028" DrawAspect="Content" ObjectID="_1595447787" r:id="rId20"/>
                        </w:object>
                      </w:r>
                      <w:r w:rsidRPr="00E37A4C">
                        <w:rPr>
                          <w:iCs/>
                          <w:lang w:val="en-AU"/>
                        </w:rPr>
                        <w:t xml:space="preserve"> </w:t>
                      </w:r>
                      <w:r w:rsidRPr="00E37A4C">
                        <w:rPr>
                          <w:lang w:val="en-AU"/>
                        </w:rPr>
                        <w:t xml:space="preserve">on UL BWP </w:t>
                      </w:r>
                      <w:r>
                        <w:rPr>
                          <w:iCs/>
                          <w:position w:val="-6"/>
                        </w:rPr>
                        <w:object w:dxaOrig="180" w:dyaOrig="240" w14:anchorId="458DD9CE">
                          <v:shape id="_x0000_i1030" type="#_x0000_t75" style="width:9.2pt;height:10.9pt" o:ole="">
                            <v:imagedata r:id="rId13" o:title=""/>
                          </v:shape>
                          <o:OLEObject Type="Embed" ProgID="Equation.3" ShapeID="_x0000_i1030" DrawAspect="Content" ObjectID="_1595447788" r:id="rId21"/>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6DE992B1">
                          <v:shape id="_x0000_i1032" type="#_x0000_t75" style="width:10.05pt;height:15.05pt" o:ole="">
                            <v:imagedata r:id="rId15" o:title=""/>
                          </v:shape>
                          <o:OLEObject Type="Embed" ProgID="Equation.3" ShapeID="_x0000_i1032" DrawAspect="Content" ObjectID="_1595447789" r:id="rId22"/>
                        </w:object>
                      </w:r>
                      <w:r w:rsidRPr="00E37A4C">
                        <w:rPr>
                          <w:iCs/>
                          <w:lang w:val="en-AU"/>
                        </w:rPr>
                        <w:t xml:space="preserve"> of </w:t>
                      </w:r>
                      <w:r w:rsidRPr="00E37A4C">
                        <w:rPr>
                          <w:lang w:val="en-AU"/>
                        </w:rPr>
                        <w:t xml:space="preserve">serving cell </w:t>
                      </w:r>
                      <w:r>
                        <w:rPr>
                          <w:iCs/>
                          <w:position w:val="-6"/>
                        </w:rPr>
                        <w:object w:dxaOrig="165" w:dyaOrig="210" w14:anchorId="34AD8EDB">
                          <v:shape id="_x0000_i1034" type="#_x0000_t75" style="width:8.35pt;height:10.05pt" o:ole="">
                            <v:imagedata r:id="rId17" o:title=""/>
                          </v:shape>
                          <o:OLEObject Type="Embed" ProgID="Equation.3" ShapeID="_x0000_i1034" DrawAspect="Content" ObjectID="_1595447790" r:id="rId23"/>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30FF0570" w14:textId="77777777" w:rsidR="00DA18C5" w:rsidRPr="00E37A4C" w:rsidRDefault="00DA18C5" w:rsidP="00DA18C5">
                      <w:pPr>
                        <w:pStyle w:val="B2"/>
                        <w:tabs>
                          <w:tab w:val="num" w:pos="1440"/>
                        </w:tabs>
                        <w:ind w:left="0" w:firstLine="0"/>
                        <w:rPr>
                          <w:lang w:val="en-AU"/>
                        </w:rPr>
                      </w:pPr>
                    </w:p>
                  </w:txbxContent>
                </v:textbox>
                <w10:wrap type="square" anchorx="margin"/>
              </v:shape>
            </w:pict>
          </mc:Fallback>
        </mc:AlternateContent>
      </w:r>
      <w:r w:rsidRPr="0029430B">
        <w:rPr>
          <w:lang w:val="en-AU"/>
        </w:rPr>
        <w:t xml:space="preserve">For PUSCH power </w:t>
      </w:r>
      <w:r w:rsidR="00783465" w:rsidRPr="0029430B">
        <w:rPr>
          <w:lang w:val="en-AU"/>
        </w:rPr>
        <w:t>scaling</w:t>
      </w:r>
      <w:r w:rsidRPr="0029430B">
        <w:rPr>
          <w:lang w:val="en-AU"/>
        </w:rPr>
        <w:t xml:space="preserve"> the following is specified in TS 38.213 section 7.1:</w:t>
      </w:r>
    </w:p>
    <w:p w14:paraId="79E840F7" w14:textId="2D6707CA" w:rsidR="00DA18C5" w:rsidRPr="0029430B" w:rsidRDefault="00E71F58" w:rsidP="00DA18C5">
      <w:pPr>
        <w:rPr>
          <w:lang w:val="en-AU"/>
        </w:rPr>
      </w:pPr>
      <w:r w:rsidRPr="0029430B">
        <w:rPr>
          <w:lang w:val="en-AU"/>
        </w:rPr>
        <w:t xml:space="preserve">Given that </w:t>
      </w:r>
      <w:r w:rsidR="009D4E32" w:rsidRPr="0029430B">
        <w:rPr>
          <w:lang w:val="en-AU"/>
        </w:rPr>
        <w:t xml:space="preserve">the UE is configured for </w:t>
      </w:r>
      <w:r w:rsidR="00D94D7C" w:rsidRPr="0029430B">
        <w:rPr>
          <w:lang w:val="en-AU"/>
        </w:rPr>
        <w:t xml:space="preserve">a </w:t>
      </w:r>
      <w:r w:rsidRPr="0029430B">
        <w:rPr>
          <w:lang w:val="en-AU"/>
        </w:rPr>
        <w:t xml:space="preserve">single transmission scheme </w:t>
      </w:r>
      <w:r w:rsidR="00D94D7C" w:rsidRPr="0029430B">
        <w:rPr>
          <w:lang w:val="en-AU"/>
        </w:rPr>
        <w:t xml:space="preserve">on </w:t>
      </w:r>
      <w:r w:rsidRPr="0029430B">
        <w:rPr>
          <w:lang w:val="en-AU"/>
        </w:rPr>
        <w:t>PUSCH</w:t>
      </w:r>
      <w:r w:rsidR="00D94D7C" w:rsidRPr="0029430B">
        <w:rPr>
          <w:lang w:val="en-AU"/>
        </w:rPr>
        <w:t xml:space="preserve"> in Rel-15</w:t>
      </w:r>
      <w:r w:rsidRPr="0029430B">
        <w:rPr>
          <w:lang w:val="en-AU"/>
        </w:rPr>
        <w:t xml:space="preserve">, </w:t>
      </w:r>
      <w:r w:rsidR="00C71A38">
        <w:rPr>
          <w:lang w:val="en-AU"/>
        </w:rPr>
        <w:t>'</w:t>
      </w:r>
      <w:r w:rsidRPr="0029430B">
        <w:rPr>
          <w:lang w:val="en-AU"/>
        </w:rPr>
        <w:t>t</w:t>
      </w:r>
      <w:r w:rsidR="00DA18C5" w:rsidRPr="0029430B">
        <w:rPr>
          <w:lang w:val="en-AU"/>
        </w:rPr>
        <w:t xml:space="preserve">he number of </w:t>
      </w:r>
      <w:r w:rsidR="00D94D7C" w:rsidRPr="0029430B">
        <w:rPr>
          <w:lang w:val="en-AU"/>
        </w:rPr>
        <w:t xml:space="preserve">configured antenna </w:t>
      </w:r>
      <w:r w:rsidR="00DA18C5" w:rsidRPr="0029430B">
        <w:rPr>
          <w:lang w:val="en-AU"/>
        </w:rPr>
        <w:t>ports for the transmission scheme</w:t>
      </w:r>
      <w:r w:rsidR="00D94D7C" w:rsidRPr="0029430B">
        <w:rPr>
          <w:lang w:val="en-AU"/>
        </w:rPr>
        <w:t>’</w:t>
      </w:r>
      <w:r w:rsidR="00DA18C5" w:rsidRPr="0029430B">
        <w:rPr>
          <w:lang w:val="en-AU"/>
        </w:rPr>
        <w:t xml:space="preserve"> can be interpreted as:</w:t>
      </w:r>
    </w:p>
    <w:p w14:paraId="74992646" w14:textId="6E5AE2FB" w:rsidR="00E71F58" w:rsidRPr="0029430B" w:rsidRDefault="00E71F58" w:rsidP="00783465">
      <w:pPr>
        <w:pStyle w:val="ListParagraph"/>
        <w:numPr>
          <w:ilvl w:val="0"/>
          <w:numId w:val="38"/>
        </w:numPr>
        <w:rPr>
          <w:i/>
          <w:lang w:val="en-AU"/>
        </w:rPr>
      </w:pPr>
      <w:r w:rsidRPr="0029430B">
        <w:rPr>
          <w:i/>
          <w:lang w:val="en-AU"/>
        </w:rPr>
        <w:t>The number of ports in one SRS resource configured to the UE for codebook or non-</w:t>
      </w:r>
      <w:proofErr w:type="gramStart"/>
      <w:r w:rsidRPr="0029430B">
        <w:rPr>
          <w:i/>
          <w:lang w:val="en-AU"/>
        </w:rPr>
        <w:t>codebook based</w:t>
      </w:r>
      <w:proofErr w:type="gramEnd"/>
      <w:r w:rsidRPr="0029430B">
        <w:rPr>
          <w:i/>
          <w:lang w:val="en-AU"/>
        </w:rPr>
        <w:t xml:space="preserve"> operation.</w:t>
      </w:r>
    </w:p>
    <w:p w14:paraId="4956F43A" w14:textId="4F617969" w:rsidR="00E71F58" w:rsidRPr="0029430B" w:rsidRDefault="006C08B0" w:rsidP="009B0A15">
      <w:pPr>
        <w:ind w:left="360"/>
        <w:rPr>
          <w:lang w:val="en-AU"/>
        </w:rPr>
      </w:pPr>
      <w:r w:rsidRPr="0029430B">
        <w:rPr>
          <w:lang w:val="en-AU"/>
        </w:rPr>
        <w:t xml:space="preserve">This is sensible for fully coherent </w:t>
      </w:r>
      <w:proofErr w:type="gramStart"/>
      <w:r w:rsidR="00E71F58" w:rsidRPr="0029430B">
        <w:rPr>
          <w:lang w:val="en-AU"/>
        </w:rPr>
        <w:t>codebook based</w:t>
      </w:r>
      <w:proofErr w:type="gramEnd"/>
      <w:r w:rsidR="00E71F58" w:rsidRPr="0029430B">
        <w:rPr>
          <w:lang w:val="en-AU"/>
        </w:rPr>
        <w:t xml:space="preserve"> operation</w:t>
      </w:r>
      <w:r w:rsidR="009D4E32" w:rsidRPr="0029430B">
        <w:rPr>
          <w:lang w:val="en-AU"/>
        </w:rPr>
        <w:t>:</w:t>
      </w:r>
      <w:r w:rsidR="00E71F58" w:rsidRPr="0029430B">
        <w:rPr>
          <w:lang w:val="en-AU"/>
        </w:rPr>
        <w:t xml:space="preserve"> a UE only </w:t>
      </w:r>
      <w:r w:rsidRPr="0029430B">
        <w:rPr>
          <w:lang w:val="en-AU"/>
        </w:rPr>
        <w:t xml:space="preserve">simultaneously </w:t>
      </w:r>
      <w:r w:rsidR="00E71F58" w:rsidRPr="0029430B">
        <w:rPr>
          <w:lang w:val="en-AU"/>
        </w:rPr>
        <w:t xml:space="preserve">transmits </w:t>
      </w:r>
      <w:r w:rsidR="009D4E32" w:rsidRPr="0029430B">
        <w:rPr>
          <w:lang w:val="en-AU"/>
        </w:rPr>
        <w:t xml:space="preserve">on </w:t>
      </w:r>
      <w:r w:rsidRPr="0029430B">
        <w:rPr>
          <w:lang w:val="en-AU"/>
        </w:rPr>
        <w:t xml:space="preserve">a number of antenna ports that is at most equal to the number of ports in an </w:t>
      </w:r>
      <w:r w:rsidR="009D4E32" w:rsidRPr="0029430B">
        <w:rPr>
          <w:lang w:val="en-AU"/>
        </w:rPr>
        <w:t>SRS resource</w:t>
      </w:r>
      <w:r w:rsidR="00590648" w:rsidRPr="0029430B">
        <w:rPr>
          <w:lang w:val="en-AU"/>
        </w:rPr>
        <w:t xml:space="preserve">.  However, it does not work for </w:t>
      </w:r>
      <w:r w:rsidRPr="0029430B">
        <w:rPr>
          <w:lang w:val="en-AU"/>
        </w:rPr>
        <w:t>non-</w:t>
      </w:r>
      <w:proofErr w:type="gramStart"/>
      <w:r w:rsidR="00590648" w:rsidRPr="0029430B">
        <w:rPr>
          <w:lang w:val="en-AU"/>
        </w:rPr>
        <w:t>codebook based</w:t>
      </w:r>
      <w:proofErr w:type="gramEnd"/>
      <w:r w:rsidR="00590648" w:rsidRPr="0029430B">
        <w:rPr>
          <w:lang w:val="en-AU"/>
        </w:rPr>
        <w:t xml:space="preserve"> operation</w:t>
      </w:r>
      <w:r w:rsidRPr="0029430B">
        <w:rPr>
          <w:lang w:val="en-AU"/>
        </w:rPr>
        <w:t xml:space="preserve">, since </w:t>
      </w:r>
      <w:r w:rsidR="00472511">
        <w:rPr>
          <w:lang w:val="en-AU"/>
        </w:rPr>
        <w:t xml:space="preserve">multilayer </w:t>
      </w:r>
      <w:r w:rsidRPr="0029430B">
        <w:rPr>
          <w:lang w:val="en-AU"/>
        </w:rPr>
        <w:t>transmission means the UE will transmit on more ports than the one it has in an SRS resource.</w:t>
      </w:r>
    </w:p>
    <w:p w14:paraId="4B560E2F" w14:textId="0C8071C5" w:rsidR="00590648" w:rsidRPr="0029430B" w:rsidRDefault="00590648" w:rsidP="00783465">
      <w:pPr>
        <w:pStyle w:val="ListParagraph"/>
        <w:numPr>
          <w:ilvl w:val="0"/>
          <w:numId w:val="38"/>
        </w:numPr>
        <w:rPr>
          <w:i/>
          <w:lang w:val="en-AU"/>
        </w:rPr>
      </w:pPr>
      <w:r w:rsidRPr="0029430B">
        <w:rPr>
          <w:i/>
          <w:lang w:val="en-AU"/>
        </w:rPr>
        <w:t>The number of ports in all SRS resources configured to the UE for codebook or non-</w:t>
      </w:r>
      <w:proofErr w:type="gramStart"/>
      <w:r w:rsidRPr="0029430B">
        <w:rPr>
          <w:i/>
          <w:lang w:val="en-AU"/>
        </w:rPr>
        <w:t>codebook based</w:t>
      </w:r>
      <w:proofErr w:type="gramEnd"/>
      <w:r w:rsidRPr="0029430B">
        <w:rPr>
          <w:i/>
          <w:lang w:val="en-AU"/>
        </w:rPr>
        <w:t xml:space="preserve"> operation.</w:t>
      </w:r>
    </w:p>
    <w:p w14:paraId="1A491213" w14:textId="0F2E472C" w:rsidR="006C08B0" w:rsidRPr="0029430B" w:rsidRDefault="006C08B0" w:rsidP="009B0A15">
      <w:pPr>
        <w:ind w:left="360"/>
        <w:rPr>
          <w:lang w:val="en-AU"/>
        </w:rPr>
      </w:pPr>
      <w:r w:rsidRPr="0029430B">
        <w:rPr>
          <w:lang w:val="en-AU"/>
        </w:rPr>
        <w:t>This is sensible non-</w:t>
      </w:r>
      <w:proofErr w:type="gramStart"/>
      <w:r w:rsidRPr="0029430B">
        <w:rPr>
          <w:lang w:val="en-AU"/>
        </w:rPr>
        <w:t>codebook based</w:t>
      </w:r>
      <w:proofErr w:type="gramEnd"/>
      <w:r w:rsidRPr="0029430B">
        <w:rPr>
          <w:lang w:val="en-AU"/>
        </w:rPr>
        <w:t xml:space="preserve"> operation</w:t>
      </w:r>
      <w:r w:rsidR="00137FBD">
        <w:rPr>
          <w:lang w:val="en-AU"/>
        </w:rPr>
        <w:t>,</w:t>
      </w:r>
      <w:r w:rsidRPr="0029430B">
        <w:rPr>
          <w:lang w:val="en-AU"/>
        </w:rPr>
        <w:t xml:space="preserve"> since the maximum number of layers the UE can transit is the maximum number of ports in all resources used for non-codebook based transmission.  However, it does not work for </w:t>
      </w:r>
      <w:proofErr w:type="gramStart"/>
      <w:r w:rsidRPr="0029430B">
        <w:rPr>
          <w:lang w:val="en-AU"/>
        </w:rPr>
        <w:t>codebook based</w:t>
      </w:r>
      <w:proofErr w:type="gramEnd"/>
      <w:r w:rsidRPr="0029430B">
        <w:rPr>
          <w:lang w:val="en-AU"/>
        </w:rPr>
        <w:t xml:space="preserve"> operation</w:t>
      </w:r>
      <w:r w:rsidR="00783465" w:rsidRPr="0029430B">
        <w:rPr>
          <w:lang w:val="en-AU"/>
        </w:rPr>
        <w:t xml:space="preserve"> when more than 1 SRS resource is configured, since the UE only transmits on at most a number of antenna ports that is equal to the number of ports in an SRS resource</w:t>
      </w:r>
      <w:r w:rsidRPr="0029430B">
        <w:rPr>
          <w:lang w:val="en-AU"/>
        </w:rPr>
        <w:t>.</w:t>
      </w:r>
    </w:p>
    <w:p w14:paraId="55C89C31" w14:textId="1C3C2A44" w:rsidR="00D94D7C" w:rsidRPr="0029430B" w:rsidRDefault="00D94D7C" w:rsidP="00783465">
      <w:pPr>
        <w:pStyle w:val="ListParagraph"/>
        <w:numPr>
          <w:ilvl w:val="0"/>
          <w:numId w:val="38"/>
        </w:numPr>
        <w:rPr>
          <w:i/>
          <w:lang w:val="en-AU"/>
        </w:rPr>
      </w:pPr>
      <w:r w:rsidRPr="0029430B">
        <w:rPr>
          <w:i/>
          <w:lang w:val="en-AU"/>
        </w:rPr>
        <w:t>T</w:t>
      </w:r>
      <w:r w:rsidR="00DA18C5" w:rsidRPr="0029430B">
        <w:rPr>
          <w:i/>
          <w:lang w:val="en-AU"/>
        </w:rPr>
        <w:t>he</w:t>
      </w:r>
      <w:r w:rsidRPr="0029430B">
        <w:rPr>
          <w:i/>
          <w:lang w:val="en-AU"/>
        </w:rPr>
        <w:t xml:space="preserve"> maximum rank that the UE is configured for </w:t>
      </w:r>
      <w:r w:rsidR="00023333">
        <w:rPr>
          <w:i/>
          <w:lang w:val="en-AU"/>
        </w:rPr>
        <w:t xml:space="preserve">through </w:t>
      </w:r>
      <w:proofErr w:type="spellStart"/>
      <w:r w:rsidRPr="0029430B">
        <w:rPr>
          <w:i/>
          <w:lang w:val="en-AU"/>
        </w:rPr>
        <w:t>maxRank</w:t>
      </w:r>
      <w:proofErr w:type="spellEnd"/>
      <w:r w:rsidRPr="0029430B">
        <w:rPr>
          <w:i/>
          <w:lang w:val="en-AU"/>
        </w:rPr>
        <w:t xml:space="preserve"> </w:t>
      </w:r>
      <w:r w:rsidR="00023333">
        <w:rPr>
          <w:i/>
          <w:lang w:val="en-AU"/>
        </w:rPr>
        <w:t xml:space="preserve">and using </w:t>
      </w:r>
      <w:r w:rsidRPr="0029430B">
        <w:rPr>
          <w:i/>
          <w:lang w:val="en-AU"/>
        </w:rPr>
        <w:t xml:space="preserve">non-coherent TPMIs. </w:t>
      </w:r>
    </w:p>
    <w:p w14:paraId="71403440" w14:textId="43E9B086" w:rsidR="00DA18C5" w:rsidRPr="0029430B" w:rsidRDefault="00023333" w:rsidP="009B0A15">
      <w:pPr>
        <w:ind w:left="360"/>
        <w:rPr>
          <w:lang w:val="en-AU"/>
        </w:rPr>
      </w:pPr>
      <w:r>
        <w:rPr>
          <w:lang w:val="en-AU"/>
        </w:rPr>
        <w:lastRenderedPageBreak/>
        <w:t>The</w:t>
      </w:r>
      <w:r w:rsidRPr="00023333">
        <w:rPr>
          <w:lang w:val="en-AU"/>
        </w:rPr>
        <w:t xml:space="preserve"> UE will transmit on at most that </w:t>
      </w:r>
      <w:proofErr w:type="spellStart"/>
      <w:r w:rsidRPr="006E1906">
        <w:rPr>
          <w:i/>
          <w:lang w:val="en-AU"/>
        </w:rPr>
        <w:t>maxRank</w:t>
      </w:r>
      <w:proofErr w:type="spellEnd"/>
      <w:r>
        <w:rPr>
          <w:lang w:val="en-AU"/>
        </w:rPr>
        <w:t xml:space="preserve"> ports in this case, and so that could be considered the number of configured antenna ports.</w:t>
      </w:r>
      <w:r w:rsidRPr="00023333">
        <w:rPr>
          <w:lang w:val="en-AU"/>
        </w:rPr>
        <w:t xml:space="preserve"> </w:t>
      </w:r>
      <w:r w:rsidR="00783465" w:rsidRPr="0029430B">
        <w:rPr>
          <w:lang w:val="en-AU"/>
        </w:rPr>
        <w:t xml:space="preserve">This would conflict with the other two options above, but </w:t>
      </w:r>
      <w:r>
        <w:rPr>
          <w:lang w:val="en-AU"/>
        </w:rPr>
        <w:t xml:space="preserve">it </w:t>
      </w:r>
      <w:r w:rsidR="00783465" w:rsidRPr="0029430B">
        <w:rPr>
          <w:lang w:val="en-AU"/>
        </w:rPr>
        <w:t>is a valid alternative interpretation of the spec</w:t>
      </w:r>
      <w:r>
        <w:rPr>
          <w:lang w:val="en-AU"/>
        </w:rPr>
        <w:t>ification</w:t>
      </w:r>
      <w:r w:rsidR="00783465" w:rsidRPr="0029430B">
        <w:rPr>
          <w:lang w:val="en-AU"/>
        </w:rPr>
        <w:t xml:space="preserve"> as currently written.</w:t>
      </w:r>
    </w:p>
    <w:p w14:paraId="2FE3F6B9" w14:textId="2129D0D0" w:rsidR="00DA18C5" w:rsidRPr="0029430B" w:rsidRDefault="00783465" w:rsidP="0088600F">
      <w:pPr>
        <w:spacing w:after="0"/>
        <w:rPr>
          <w:lang w:val="en-AU"/>
        </w:rPr>
      </w:pPr>
      <w:r w:rsidRPr="006C6E7D">
        <w:rPr>
          <w:b/>
          <w:u w:val="single"/>
          <w:lang w:val="en-AU"/>
        </w:rPr>
        <w:t>Observation</w:t>
      </w:r>
      <w:r w:rsidRPr="0029430B">
        <w:rPr>
          <w:lang w:val="en-AU"/>
        </w:rPr>
        <w:t>:</w:t>
      </w:r>
    </w:p>
    <w:p w14:paraId="5C3C878A" w14:textId="6E016C7B" w:rsidR="00783465" w:rsidRPr="0029430B" w:rsidRDefault="00783465" w:rsidP="00A36BE0">
      <w:pPr>
        <w:pStyle w:val="ListParagraph"/>
        <w:numPr>
          <w:ilvl w:val="0"/>
          <w:numId w:val="39"/>
        </w:numPr>
        <w:rPr>
          <w:lang w:val="en-AU"/>
        </w:rPr>
      </w:pPr>
      <w:r w:rsidRPr="0029430B">
        <w:rPr>
          <w:lang w:val="en-AU"/>
        </w:rPr>
        <w:t>The current Rel-15 PUSCH power scaling text is ambiguous.</w:t>
      </w:r>
    </w:p>
    <w:p w14:paraId="1DF5ED2A" w14:textId="284D8B8F" w:rsidR="00783465" w:rsidRPr="0029430B" w:rsidRDefault="00783465" w:rsidP="00D94D7C">
      <w:pPr>
        <w:rPr>
          <w:lang w:val="en-GB"/>
        </w:rPr>
      </w:pPr>
      <w:r w:rsidRPr="0029430B">
        <w:rPr>
          <w:lang w:val="en-AU"/>
        </w:rPr>
        <w:t xml:space="preserve">As </w:t>
      </w:r>
      <w:r w:rsidR="00D12A4B">
        <w:rPr>
          <w:lang w:val="en-AU"/>
        </w:rPr>
        <w:t xml:space="preserve">has been </w:t>
      </w:r>
      <w:r w:rsidRPr="0029430B">
        <w:rPr>
          <w:lang w:val="en-AU"/>
        </w:rPr>
        <w:t xml:space="preserve">discussed in detail </w:t>
      </w:r>
      <w:r w:rsidR="00D12A4B">
        <w:rPr>
          <w:lang w:val="en-AU"/>
        </w:rPr>
        <w:t>in prior contributions [1]</w:t>
      </w:r>
      <w:r w:rsidRPr="0029430B">
        <w:rPr>
          <w:lang w:val="en-AU"/>
        </w:rPr>
        <w:t>, taking the interpretation of the</w:t>
      </w:r>
      <w:r w:rsidR="008328EA" w:rsidRPr="0029430B">
        <w:rPr>
          <w:lang w:val="en-AU"/>
        </w:rPr>
        <w:t xml:space="preserve"> ‘number of configured antenna ports’</w:t>
      </w:r>
      <w:r w:rsidRPr="0029430B">
        <w:rPr>
          <w:lang w:val="en-AU"/>
        </w:rPr>
        <w:t xml:space="preserve"> </w:t>
      </w:r>
      <w:r w:rsidR="008328EA" w:rsidRPr="0029430B">
        <w:rPr>
          <w:lang w:val="en-AU"/>
        </w:rPr>
        <w:t xml:space="preserve">in the </w:t>
      </w:r>
      <w:r w:rsidRPr="0029430B">
        <w:rPr>
          <w:lang w:val="en-AU"/>
        </w:rPr>
        <w:t xml:space="preserve">current text as the number of total </w:t>
      </w:r>
      <w:r w:rsidR="0088600F" w:rsidRPr="0029430B">
        <w:rPr>
          <w:lang w:val="en-AU"/>
        </w:rPr>
        <w:t xml:space="preserve">Tx </w:t>
      </w:r>
      <w:r w:rsidR="008328EA" w:rsidRPr="0029430B">
        <w:rPr>
          <w:lang w:val="en-AU"/>
        </w:rPr>
        <w:t xml:space="preserve">chains </w:t>
      </w:r>
      <w:r w:rsidRPr="0029430B">
        <w:rPr>
          <w:lang w:val="en-AU"/>
        </w:rPr>
        <w:t xml:space="preserve">that the UE can </w:t>
      </w:r>
      <w:r w:rsidR="0088600F" w:rsidRPr="0029430B">
        <w:rPr>
          <w:lang w:val="en-AU"/>
        </w:rPr>
        <w:t xml:space="preserve">simultaneously </w:t>
      </w:r>
      <w:r w:rsidRPr="0029430B">
        <w:rPr>
          <w:lang w:val="en-AU"/>
        </w:rPr>
        <w:t>transmit on (essentially the LTE Rel-8 approach)</w:t>
      </w:r>
      <w:r w:rsidR="008328EA" w:rsidRPr="0029430B">
        <w:rPr>
          <w:lang w:val="en-AU"/>
        </w:rPr>
        <w:t xml:space="preserve"> results in excessive power </w:t>
      </w:r>
      <w:proofErr w:type="spellStart"/>
      <w:r w:rsidR="008328EA" w:rsidRPr="0029430B">
        <w:rPr>
          <w:lang w:val="en-AU"/>
        </w:rPr>
        <w:t>backoff</w:t>
      </w:r>
      <w:proofErr w:type="spellEnd"/>
      <w:r w:rsidR="008328EA" w:rsidRPr="0029430B">
        <w:rPr>
          <w:lang w:val="en-AU"/>
        </w:rPr>
        <w:t xml:space="preserve"> for some UE </w:t>
      </w:r>
      <w:r w:rsidR="006C0F47" w:rsidRPr="0029430B">
        <w:rPr>
          <w:lang w:val="en-AU"/>
        </w:rPr>
        <w:t xml:space="preserve">‘full power’ </w:t>
      </w:r>
      <w:r w:rsidR="008328EA" w:rsidRPr="0029430B">
        <w:rPr>
          <w:lang w:val="en-AU"/>
        </w:rPr>
        <w:t>implementations</w:t>
      </w:r>
      <w:r w:rsidR="006C0F47" w:rsidRPr="0029430B">
        <w:rPr>
          <w:lang w:val="en-AU"/>
        </w:rPr>
        <w:t xml:space="preserve"> but not ‘non-full power’ implementations</w:t>
      </w:r>
      <w:r w:rsidR="008328EA" w:rsidRPr="0029430B">
        <w:rPr>
          <w:lang w:val="en-AU"/>
        </w:rPr>
        <w:t xml:space="preserve">.  However, </w:t>
      </w:r>
      <w:r w:rsidR="006C0F47" w:rsidRPr="0029430B">
        <w:rPr>
          <w:lang w:val="en-AU"/>
        </w:rPr>
        <w:t xml:space="preserve">it is clear from </w:t>
      </w:r>
      <w:r w:rsidR="008328EA" w:rsidRPr="0029430B">
        <w:rPr>
          <w:lang w:val="en-AU"/>
        </w:rPr>
        <w:t>discussions</w:t>
      </w:r>
      <w:r w:rsidR="006C0F47" w:rsidRPr="0029430B">
        <w:rPr>
          <w:lang w:val="en-AU"/>
        </w:rPr>
        <w:t xml:space="preserve"> in the last few meetings on PUSCH power scaling that UE vendors need support for </w:t>
      </w:r>
      <w:r w:rsidR="00BF136A" w:rsidRPr="0029430B">
        <w:rPr>
          <w:lang w:val="en-AU"/>
        </w:rPr>
        <w:t>non-full power implementations</w:t>
      </w:r>
      <w:r w:rsidR="0088600F" w:rsidRPr="0029430B">
        <w:rPr>
          <w:lang w:val="en-AU"/>
        </w:rPr>
        <w:t xml:space="preserve">.  </w:t>
      </w:r>
      <w:r w:rsidR="00157D2C" w:rsidRPr="0029430B">
        <w:rPr>
          <w:lang w:val="en-GB"/>
        </w:rPr>
        <w:t>Unfortunately, it is late in Rel-15 to introduce a separate UE capability and corresponding power control with respect to full power multiple PA transmission</w:t>
      </w:r>
      <w:r w:rsidR="00096845">
        <w:rPr>
          <w:lang w:val="en-GB"/>
        </w:rPr>
        <w:t xml:space="preserve"> using non- or partially coherent codebook based and/or non-</w:t>
      </w:r>
      <w:proofErr w:type="gramStart"/>
      <w:r w:rsidR="00096845">
        <w:rPr>
          <w:lang w:val="en-GB"/>
        </w:rPr>
        <w:t>codebook based</w:t>
      </w:r>
      <w:proofErr w:type="gramEnd"/>
      <w:r w:rsidR="00096845">
        <w:rPr>
          <w:lang w:val="en-GB"/>
        </w:rPr>
        <w:t xml:space="preserve"> operation</w:t>
      </w:r>
      <w:r w:rsidR="00157D2C" w:rsidRPr="0029430B">
        <w:rPr>
          <w:lang w:val="en-GB"/>
        </w:rPr>
        <w:t>.  However, such a capability can be supported in the Rel-16 NR MIMO work item</w:t>
      </w:r>
      <w:r w:rsidR="00FE4E16">
        <w:rPr>
          <w:lang w:val="en-GB"/>
        </w:rPr>
        <w:t xml:space="preserve"> [2]</w:t>
      </w:r>
      <w:r w:rsidR="00157D2C" w:rsidRPr="0029430B">
        <w:rPr>
          <w:lang w:val="en-GB"/>
        </w:rPr>
        <w:t>, which will specify enhancement to allow full power transmission in case of uplink transmission with multiple power amplifiers.</w:t>
      </w:r>
    </w:p>
    <w:p w14:paraId="6F69AE3D" w14:textId="2C2DAB6A" w:rsidR="0088600F" w:rsidRPr="0029430B" w:rsidRDefault="0088600F" w:rsidP="0012329D">
      <w:pPr>
        <w:spacing w:after="0"/>
        <w:rPr>
          <w:b/>
          <w:u w:val="single"/>
          <w:lang w:val="en-GB"/>
        </w:rPr>
      </w:pPr>
      <w:r w:rsidRPr="0029430B">
        <w:rPr>
          <w:b/>
          <w:u w:val="single"/>
          <w:lang w:val="en-GB"/>
        </w:rPr>
        <w:t>Observations:</w:t>
      </w:r>
    </w:p>
    <w:p w14:paraId="444E4515" w14:textId="77777777" w:rsidR="0088600F" w:rsidRPr="0029430B" w:rsidRDefault="0088600F" w:rsidP="0088600F">
      <w:pPr>
        <w:pStyle w:val="ListParagraph"/>
        <w:numPr>
          <w:ilvl w:val="0"/>
          <w:numId w:val="39"/>
        </w:numPr>
        <w:rPr>
          <w:rFonts w:asciiTheme="minorHAnsi" w:hAnsiTheme="minorHAnsi"/>
          <w:lang w:val="en-AU" w:eastAsia="zh-CN"/>
        </w:rPr>
      </w:pPr>
      <w:r w:rsidRPr="0029430B">
        <w:rPr>
          <w:rFonts w:asciiTheme="minorHAnsi" w:hAnsiTheme="minorHAnsi"/>
          <w:lang w:val="en-AU" w:eastAsia="zh-CN"/>
        </w:rPr>
        <w:t>It is late in Rel-15 to introduce a separate UE capability and corresponding power control with respect to full power multiple PA transmission</w:t>
      </w:r>
    </w:p>
    <w:p w14:paraId="36588FD1" w14:textId="1DB76084" w:rsidR="0088600F" w:rsidRPr="00590EB2" w:rsidRDefault="0088600F" w:rsidP="00590EB2">
      <w:pPr>
        <w:pStyle w:val="ListParagraph"/>
        <w:numPr>
          <w:ilvl w:val="1"/>
          <w:numId w:val="39"/>
        </w:numPr>
        <w:rPr>
          <w:rFonts w:asciiTheme="minorHAnsi" w:hAnsiTheme="minorHAnsi"/>
          <w:lang w:val="en-AU" w:eastAsia="zh-CN"/>
        </w:rPr>
      </w:pPr>
      <w:r w:rsidRPr="0029430B">
        <w:rPr>
          <w:rFonts w:asciiTheme="minorHAnsi" w:hAnsiTheme="minorHAnsi"/>
          <w:lang w:val="en-AU" w:eastAsia="zh-CN"/>
        </w:rPr>
        <w:t>Such a capability can be supported in the Rel-16 NR MIMO work item, which will specify enhancement to allow full power transmission in case of uplink transmission with multiple power amplifiers.</w:t>
      </w:r>
    </w:p>
    <w:p w14:paraId="7E9217B8" w14:textId="77777777" w:rsidR="0088600F" w:rsidRPr="0029430B" w:rsidRDefault="0088600F" w:rsidP="0012329D">
      <w:pPr>
        <w:spacing w:after="0"/>
        <w:rPr>
          <w:b/>
          <w:u w:val="single"/>
          <w:lang w:val="en-GB"/>
        </w:rPr>
      </w:pPr>
      <w:r w:rsidRPr="0029430B">
        <w:rPr>
          <w:b/>
          <w:u w:val="single"/>
          <w:lang w:val="en-GB"/>
        </w:rPr>
        <w:t>Proposals:</w:t>
      </w:r>
    </w:p>
    <w:p w14:paraId="54774553" w14:textId="77777777" w:rsidR="0023714F" w:rsidRDefault="0023714F" w:rsidP="0023714F">
      <w:pPr>
        <w:pStyle w:val="ListParagraph"/>
        <w:numPr>
          <w:ilvl w:val="0"/>
          <w:numId w:val="32"/>
        </w:numPr>
        <w:rPr>
          <w:rFonts w:asciiTheme="minorHAnsi" w:hAnsiTheme="minorHAnsi"/>
          <w:lang w:val="en-AU" w:eastAsia="zh-CN"/>
        </w:rPr>
      </w:pPr>
      <w:r w:rsidRPr="0029430B">
        <w:rPr>
          <w:rFonts w:asciiTheme="minorHAnsi" w:hAnsiTheme="minorHAnsi"/>
          <w:lang w:val="en-AU" w:eastAsia="zh-CN"/>
        </w:rPr>
        <w:t xml:space="preserve">Clarify Rel-15 NR </w:t>
      </w:r>
      <w:r>
        <w:rPr>
          <w:rFonts w:asciiTheme="minorHAnsi" w:hAnsiTheme="minorHAnsi"/>
          <w:lang w:val="en-AU" w:eastAsia="zh-CN"/>
        </w:rPr>
        <w:t xml:space="preserve">PUSCH power scaling </w:t>
      </w:r>
      <w:r w:rsidRPr="0029430B">
        <w:rPr>
          <w:rFonts w:asciiTheme="minorHAnsi" w:hAnsiTheme="minorHAnsi"/>
          <w:lang w:val="en-AU" w:eastAsia="zh-CN"/>
        </w:rPr>
        <w:t xml:space="preserve">specifications such that </w:t>
      </w:r>
      <w:r>
        <w:rPr>
          <w:rFonts w:asciiTheme="minorHAnsi" w:hAnsiTheme="minorHAnsi"/>
          <w:lang w:val="en-AU" w:eastAsia="zh-CN"/>
        </w:rPr>
        <w:t xml:space="preserve">per-PA </w:t>
      </w:r>
      <w:r w:rsidRPr="0029430B">
        <w:rPr>
          <w:rFonts w:asciiTheme="minorHAnsi" w:hAnsiTheme="minorHAnsi"/>
          <w:lang w:val="en-AU" w:eastAsia="zh-CN"/>
        </w:rPr>
        <w:t xml:space="preserve">full power </w:t>
      </w:r>
      <w:r>
        <w:rPr>
          <w:rFonts w:asciiTheme="minorHAnsi" w:hAnsiTheme="minorHAnsi"/>
          <w:lang w:val="en-AU" w:eastAsia="zh-CN"/>
        </w:rPr>
        <w:t>capacity</w:t>
      </w:r>
      <w:r w:rsidRPr="0029430B">
        <w:rPr>
          <w:rFonts w:asciiTheme="minorHAnsi" w:hAnsiTheme="minorHAnsi"/>
          <w:lang w:val="en-AU" w:eastAsia="zh-CN"/>
        </w:rPr>
        <w:t xml:space="preserve"> </w:t>
      </w:r>
      <w:r>
        <w:rPr>
          <w:rFonts w:ascii="Times New Roman" w:hAnsi="Times New Roman"/>
        </w:rPr>
        <w:t xml:space="preserve">for all PAs in the UE </w:t>
      </w:r>
      <w:r w:rsidRPr="0029430B">
        <w:rPr>
          <w:rFonts w:asciiTheme="minorHAnsi" w:hAnsiTheme="minorHAnsi"/>
          <w:lang w:val="en-AU" w:eastAsia="zh-CN"/>
        </w:rPr>
        <w:t xml:space="preserve">is not required for any </w:t>
      </w:r>
      <w:r>
        <w:rPr>
          <w:rFonts w:asciiTheme="minorHAnsi" w:hAnsiTheme="minorHAnsi"/>
          <w:lang w:val="en-AU" w:eastAsia="zh-CN"/>
        </w:rPr>
        <w:t xml:space="preserve">MIMO </w:t>
      </w:r>
      <w:r w:rsidRPr="0029430B">
        <w:rPr>
          <w:rFonts w:asciiTheme="minorHAnsi" w:hAnsiTheme="minorHAnsi"/>
          <w:lang w:val="en-AU" w:eastAsia="zh-CN"/>
        </w:rPr>
        <w:t xml:space="preserve">UE </w:t>
      </w:r>
      <w:r>
        <w:rPr>
          <w:rFonts w:asciiTheme="minorHAnsi" w:hAnsiTheme="minorHAnsi"/>
          <w:lang w:val="en-AU" w:eastAsia="zh-CN"/>
        </w:rPr>
        <w:t>capability.</w:t>
      </w:r>
    </w:p>
    <w:p w14:paraId="78525504" w14:textId="1FD8673D" w:rsidR="00157D2C" w:rsidRDefault="00FB4918" w:rsidP="00D94D7C">
      <w:pPr>
        <w:rPr>
          <w:lang w:val="en-AU"/>
        </w:rPr>
      </w:pPr>
      <w:r>
        <w:rPr>
          <w:lang w:val="en-AU"/>
        </w:rPr>
        <w:t>The proposal above could be implemented in 36.213 section 7.1 with:</w:t>
      </w:r>
    </w:p>
    <w:p w14:paraId="56933668" w14:textId="77777777" w:rsidR="00FB4918" w:rsidRDefault="00FB4918" w:rsidP="00FB4918">
      <w:pPr>
        <w:rPr>
          <w:lang w:val="en-AU"/>
        </w:rPr>
      </w:pPr>
      <w:r w:rsidRPr="00E37A4C">
        <w:rPr>
          <w:highlight w:val="yellow"/>
          <w:lang w:val="en-AU"/>
        </w:rPr>
        <w:t>&gt;&gt;&gt;&gt;&gt;&gt;&gt;&gt;&gt;&gt;&gt;&gt; Start text proposal &gt;&gt;&gt;&gt;&gt;&gt;&gt;&gt;&gt;&gt;&gt;&gt;</w:t>
      </w:r>
    </w:p>
    <w:p w14:paraId="4993BD76" w14:textId="1E72BD9A" w:rsidR="00FB4918" w:rsidRPr="00E37A4C" w:rsidRDefault="0057567A" w:rsidP="00FB4918">
      <w:pPr>
        <w:rPr>
          <w:lang w:val="en-AU"/>
        </w:rPr>
      </w:pPr>
      <w:r w:rsidRPr="00BA4329">
        <w:rPr>
          <w:color w:val="FF0000"/>
          <w:u w:val="single"/>
          <w:lang w:val="en-AU"/>
        </w:rPr>
        <w:t xml:space="preserve">For PUSCH configured with one antenna port, a UE transmits with power </w:t>
      </w:r>
      <w:r w:rsidRPr="00BA4329">
        <w:rPr>
          <w:iCs/>
          <w:color w:val="FF0000"/>
          <w:position w:val="-12"/>
          <w:u w:val="single"/>
        </w:rPr>
        <w:object w:dxaOrig="1590" w:dyaOrig="330" w14:anchorId="74BA1619">
          <v:shape id="_x0000_i1035" type="#_x0000_t75" style="width:79.55pt;height:16.75pt" o:ole="">
            <v:imagedata r:id="rId11" o:title=""/>
          </v:shape>
          <o:OLEObject Type="Embed" ProgID="Equation.3" ShapeID="_x0000_i1035" DrawAspect="Content" ObjectID="_1595447777" r:id="rId24"/>
        </w:object>
      </w:r>
      <w:r w:rsidRPr="00BA4329">
        <w:rPr>
          <w:iCs/>
          <w:color w:val="FF0000"/>
          <w:u w:val="single"/>
          <w:lang w:val="en-AU"/>
        </w:rPr>
        <w:t xml:space="preserve"> </w:t>
      </w:r>
      <w:r w:rsidRPr="00BA4329">
        <w:rPr>
          <w:color w:val="FF0000"/>
          <w:u w:val="single"/>
          <w:lang w:val="en-AU"/>
        </w:rPr>
        <w:t xml:space="preserve">on UL BWP </w:t>
      </w:r>
      <w:r w:rsidRPr="00BA4329">
        <w:rPr>
          <w:iCs/>
          <w:color w:val="FF0000"/>
          <w:position w:val="-6"/>
          <w:u w:val="single"/>
        </w:rPr>
        <w:object w:dxaOrig="180" w:dyaOrig="240" w14:anchorId="21EEA768">
          <v:shape id="_x0000_i1036" type="#_x0000_t75" style="width:9.2pt;height:10.9pt" o:ole="">
            <v:imagedata r:id="rId13" o:title=""/>
          </v:shape>
          <o:OLEObject Type="Embed" ProgID="Equation.3" ShapeID="_x0000_i1036" DrawAspect="Content" ObjectID="_1595447778" r:id="rId25"/>
        </w:object>
      </w:r>
      <w:r w:rsidRPr="00BA4329">
        <w:rPr>
          <w:iCs/>
          <w:color w:val="FF0000"/>
          <w:u w:val="single"/>
          <w:lang w:val="en-AU"/>
        </w:rPr>
        <w:t xml:space="preserve">, as described in Subclause </w:t>
      </w:r>
      <w:r w:rsidRPr="00BA4329">
        <w:rPr>
          <w:iCs/>
          <w:color w:val="FF0000"/>
          <w:u w:val="single"/>
        </w:rPr>
        <w:fldChar w:fldCharType="begin"/>
      </w:r>
      <w:r w:rsidRPr="00BA4329">
        <w:rPr>
          <w:iCs/>
          <w:color w:val="FF0000"/>
          <w:u w:val="single"/>
          <w:lang w:val="en-AU"/>
        </w:rPr>
        <w:instrText xml:space="preserve"> REF _Ref496621482 \h </w:instrText>
      </w:r>
      <w:r w:rsidR="00BA4329" w:rsidRPr="00BA4329">
        <w:rPr>
          <w:iCs/>
          <w:color w:val="FF0000"/>
          <w:u w:val="single"/>
        </w:rPr>
        <w:instrText xml:space="preserve"> \* MERGEFORMAT </w:instrText>
      </w:r>
      <w:r w:rsidRPr="00BA4329">
        <w:rPr>
          <w:iCs/>
          <w:color w:val="FF0000"/>
          <w:u w:val="single"/>
        </w:rPr>
      </w:r>
      <w:r w:rsidRPr="00BA4329">
        <w:rPr>
          <w:iCs/>
          <w:color w:val="FF0000"/>
          <w:u w:val="single"/>
        </w:rPr>
        <w:fldChar w:fldCharType="separate"/>
      </w:r>
      <w:r w:rsidRPr="00BA4329">
        <w:rPr>
          <w:color w:val="FF0000"/>
          <w:u w:val="single"/>
          <w:lang w:val="en-AU"/>
        </w:rPr>
        <w:t>12</w:t>
      </w:r>
      <w:r w:rsidRPr="00BA4329">
        <w:rPr>
          <w:iCs/>
          <w:color w:val="FF0000"/>
          <w:u w:val="single"/>
        </w:rPr>
        <w:fldChar w:fldCharType="end"/>
      </w:r>
      <w:r w:rsidRPr="00BA4329">
        <w:rPr>
          <w:iCs/>
          <w:color w:val="FF0000"/>
          <w:u w:val="single"/>
          <w:lang w:val="en-AU"/>
        </w:rPr>
        <w:t xml:space="preserve">, of </w:t>
      </w:r>
      <w:r w:rsidRPr="00BA4329">
        <w:rPr>
          <w:color w:val="FF0000"/>
          <w:u w:val="single"/>
          <w:lang w:val="en-AU"/>
        </w:rPr>
        <w:t xml:space="preserve">carrier </w:t>
      </w:r>
      <w:r w:rsidRPr="00BA4329">
        <w:rPr>
          <w:iCs/>
          <w:color w:val="FF0000"/>
          <w:position w:val="-10"/>
          <w:u w:val="single"/>
        </w:rPr>
        <w:object w:dxaOrig="225" w:dyaOrig="300" w14:anchorId="5B991107">
          <v:shape id="_x0000_i1037" type="#_x0000_t75" style="width:10.05pt;height:15.05pt" o:ole="">
            <v:imagedata r:id="rId15" o:title=""/>
          </v:shape>
          <o:OLEObject Type="Embed" ProgID="Equation.3" ShapeID="_x0000_i1037" DrawAspect="Content" ObjectID="_1595447779" r:id="rId26"/>
        </w:object>
      </w:r>
      <w:r w:rsidRPr="00BA4329">
        <w:rPr>
          <w:iCs/>
          <w:color w:val="FF0000"/>
          <w:u w:val="single"/>
          <w:lang w:val="en-AU"/>
        </w:rPr>
        <w:t xml:space="preserve"> of </w:t>
      </w:r>
      <w:r w:rsidRPr="00BA4329">
        <w:rPr>
          <w:color w:val="FF0000"/>
          <w:u w:val="single"/>
          <w:lang w:val="en-AU"/>
        </w:rPr>
        <w:t xml:space="preserve">serving cell </w:t>
      </w:r>
      <w:r w:rsidRPr="00BA4329">
        <w:rPr>
          <w:iCs/>
          <w:color w:val="FF0000"/>
          <w:position w:val="-6"/>
          <w:u w:val="single"/>
        </w:rPr>
        <w:object w:dxaOrig="165" w:dyaOrig="210" w14:anchorId="1A2F27FD">
          <v:shape id="_x0000_i1038" type="#_x0000_t75" style="width:8.35pt;height:10.05pt" o:ole="">
            <v:imagedata r:id="rId17" o:title=""/>
          </v:shape>
          <o:OLEObject Type="Embed" ProgID="Equation.3" ShapeID="_x0000_i1038" DrawAspect="Content" ObjectID="_1595447780" r:id="rId27"/>
        </w:object>
      </w:r>
      <w:r w:rsidRPr="00BA4329">
        <w:rPr>
          <w:iCs/>
          <w:color w:val="FF0000"/>
          <w:u w:val="single"/>
          <w:lang w:val="en-AU"/>
        </w:rPr>
        <w:t xml:space="preserve">, with parameters as defined in Subclause </w:t>
      </w:r>
      <w:r w:rsidRPr="00BA4329">
        <w:rPr>
          <w:iCs/>
          <w:color w:val="FF0000"/>
          <w:u w:val="single"/>
        </w:rPr>
        <w:fldChar w:fldCharType="begin"/>
      </w:r>
      <w:r w:rsidRPr="00BA4329">
        <w:rPr>
          <w:iCs/>
          <w:color w:val="FF0000"/>
          <w:u w:val="single"/>
          <w:lang w:val="en-AU"/>
        </w:rPr>
        <w:instrText xml:space="preserve"> REF _Ref497117847 \h  \* MERGEFORMAT </w:instrText>
      </w:r>
      <w:r w:rsidRPr="00BA4329">
        <w:rPr>
          <w:iCs/>
          <w:color w:val="FF0000"/>
          <w:u w:val="single"/>
        </w:rPr>
      </w:r>
      <w:r w:rsidRPr="00BA4329">
        <w:rPr>
          <w:iCs/>
          <w:color w:val="FF0000"/>
          <w:u w:val="single"/>
        </w:rPr>
        <w:fldChar w:fldCharType="separate"/>
      </w:r>
      <w:r w:rsidRPr="00BA4329">
        <w:rPr>
          <w:color w:val="FF0000"/>
          <w:u w:val="single"/>
          <w:lang w:val="en-AU"/>
        </w:rPr>
        <w:t>7.1.1</w:t>
      </w:r>
      <w:r w:rsidRPr="00BA4329">
        <w:rPr>
          <w:iCs/>
          <w:color w:val="FF0000"/>
          <w:u w:val="single"/>
        </w:rPr>
        <w:fldChar w:fldCharType="end"/>
      </w:r>
      <w:r w:rsidRPr="00BA4329">
        <w:rPr>
          <w:iCs/>
          <w:color w:val="FF0000"/>
          <w:u w:val="single"/>
          <w:lang w:val="en-AU"/>
        </w:rPr>
        <w:t xml:space="preserve">. </w:t>
      </w:r>
      <w:r w:rsidR="00FB4918" w:rsidRPr="00E37A4C">
        <w:rPr>
          <w:lang w:val="en-AU"/>
        </w:rPr>
        <w:t>For PUSCH</w:t>
      </w:r>
      <w:r w:rsidR="00E22662" w:rsidRPr="00BA4329">
        <w:rPr>
          <w:color w:val="FF0000"/>
          <w:u w:val="single"/>
          <w:lang w:val="en-AU"/>
        </w:rPr>
        <w:t xml:space="preserve"> configured with </w:t>
      </w:r>
      <w:r w:rsidRPr="00BA4329">
        <w:rPr>
          <w:color w:val="FF0000"/>
          <w:u w:val="single"/>
          <w:lang w:val="en-AU"/>
        </w:rPr>
        <w:t xml:space="preserve">more than one </w:t>
      </w:r>
      <w:r w:rsidR="00E22662" w:rsidRPr="00BA4329">
        <w:rPr>
          <w:color w:val="FF0000"/>
          <w:u w:val="single"/>
          <w:lang w:val="en-AU"/>
        </w:rPr>
        <w:t>antenna port</w:t>
      </w:r>
      <w:r w:rsidR="00FB4918" w:rsidRPr="00E37A4C">
        <w:rPr>
          <w:lang w:val="en-AU"/>
        </w:rPr>
        <w:t xml:space="preserve">, a UE first scales a linear value </w:t>
      </w:r>
      <w:r w:rsidR="00FB4918">
        <w:rPr>
          <w:iCs/>
          <w:position w:val="-12"/>
        </w:rPr>
        <w:object w:dxaOrig="1590" w:dyaOrig="375" w14:anchorId="3598F8BC">
          <v:shape id="_x0000_i1039" type="#_x0000_t75" style="width:79.55pt;height:18.4pt" o:ole="">
            <v:imagedata r:id="rId9" o:title=""/>
          </v:shape>
          <o:OLEObject Type="Embed" ProgID="Equation.3" ShapeID="_x0000_i1039" DrawAspect="Content" ObjectID="_1595447781" r:id="rId28"/>
        </w:object>
      </w:r>
      <w:r w:rsidR="00FB4918" w:rsidRPr="00E37A4C">
        <w:rPr>
          <w:iCs/>
          <w:lang w:val="en-AU"/>
        </w:rPr>
        <w:t xml:space="preserve"> of the </w:t>
      </w:r>
      <w:r w:rsidR="00FB4918" w:rsidRPr="00E37A4C">
        <w:rPr>
          <w:lang w:val="en-AU"/>
        </w:rPr>
        <w:t xml:space="preserve">transmit power </w:t>
      </w:r>
      <w:r w:rsidR="00FB4918">
        <w:rPr>
          <w:iCs/>
          <w:position w:val="-12"/>
        </w:rPr>
        <w:object w:dxaOrig="1590" w:dyaOrig="330" w14:anchorId="488B2208">
          <v:shape id="_x0000_i1040" type="#_x0000_t75" style="width:79.55pt;height:16.75pt" o:ole="">
            <v:imagedata r:id="rId11" o:title=""/>
          </v:shape>
          <o:OLEObject Type="Embed" ProgID="Equation.3" ShapeID="_x0000_i1040" DrawAspect="Content" ObjectID="_1595447782" r:id="rId29"/>
        </w:object>
      </w:r>
      <w:r w:rsidR="00FB4918" w:rsidRPr="00DD4355">
        <w:rPr>
          <w:iCs/>
          <w:strike/>
          <w:color w:val="FF0000"/>
          <w:lang w:val="en-AU"/>
        </w:rPr>
        <w:t xml:space="preserve"> </w:t>
      </w:r>
      <w:r w:rsidR="00FB4918" w:rsidRPr="00DD4355">
        <w:rPr>
          <w:strike/>
          <w:color w:val="FF0000"/>
          <w:lang w:val="en-AU"/>
        </w:rPr>
        <w:t xml:space="preserve">on UL BWP </w:t>
      </w:r>
      <w:r w:rsidR="00FB4918" w:rsidRPr="00DD4355">
        <w:rPr>
          <w:iCs/>
          <w:strike/>
          <w:color w:val="FF0000"/>
          <w:position w:val="-6"/>
        </w:rPr>
        <w:object w:dxaOrig="180" w:dyaOrig="240" w14:anchorId="1CA56FAA">
          <v:shape id="_x0000_i1041" type="#_x0000_t75" style="width:9.2pt;height:10.9pt" o:ole="">
            <v:imagedata r:id="rId13" o:title=""/>
          </v:shape>
          <o:OLEObject Type="Embed" ProgID="Equation.3" ShapeID="_x0000_i1041" DrawAspect="Content" ObjectID="_1595447783" r:id="rId30"/>
        </w:object>
      </w:r>
      <w:r w:rsidR="00FB4918" w:rsidRPr="00DD4355">
        <w:rPr>
          <w:iCs/>
          <w:strike/>
          <w:color w:val="FF0000"/>
          <w:lang w:val="en-AU"/>
        </w:rPr>
        <w:t xml:space="preserve">, as described in Subclause </w:t>
      </w:r>
      <w:r w:rsidR="00FB4918" w:rsidRPr="00DD4355">
        <w:rPr>
          <w:iCs/>
          <w:strike/>
          <w:color w:val="FF0000"/>
        </w:rPr>
        <w:fldChar w:fldCharType="begin"/>
      </w:r>
      <w:r w:rsidR="00FB4918" w:rsidRPr="00DD4355">
        <w:rPr>
          <w:iCs/>
          <w:strike/>
          <w:color w:val="FF0000"/>
          <w:lang w:val="en-AU"/>
        </w:rPr>
        <w:instrText xml:space="preserve"> REF _Ref496621482 \h </w:instrText>
      </w:r>
      <w:r w:rsidR="00DD4355">
        <w:rPr>
          <w:iCs/>
          <w:strike/>
          <w:color w:val="FF0000"/>
        </w:rPr>
        <w:instrText xml:space="preserve"> \* MERGEFORMAT </w:instrText>
      </w:r>
      <w:r w:rsidR="00FB4918" w:rsidRPr="00DD4355">
        <w:rPr>
          <w:iCs/>
          <w:strike/>
          <w:color w:val="FF0000"/>
        </w:rPr>
      </w:r>
      <w:r w:rsidR="00FB4918" w:rsidRPr="00DD4355">
        <w:rPr>
          <w:iCs/>
          <w:strike/>
          <w:color w:val="FF0000"/>
        </w:rPr>
        <w:fldChar w:fldCharType="separate"/>
      </w:r>
      <w:r w:rsidR="00FB4918" w:rsidRPr="00DD4355">
        <w:rPr>
          <w:strike/>
          <w:color w:val="FF0000"/>
          <w:lang w:val="en-AU"/>
        </w:rPr>
        <w:t>12</w:t>
      </w:r>
      <w:r w:rsidR="00FB4918" w:rsidRPr="00DD4355">
        <w:rPr>
          <w:iCs/>
          <w:strike/>
          <w:color w:val="FF0000"/>
        </w:rPr>
        <w:fldChar w:fldCharType="end"/>
      </w:r>
      <w:r w:rsidR="00FB4918" w:rsidRPr="00DD4355">
        <w:rPr>
          <w:iCs/>
          <w:strike/>
          <w:color w:val="FF0000"/>
          <w:lang w:val="en-AU"/>
        </w:rPr>
        <w:t xml:space="preserve">, of </w:t>
      </w:r>
      <w:r w:rsidR="00FB4918" w:rsidRPr="00DD4355">
        <w:rPr>
          <w:strike/>
          <w:color w:val="FF0000"/>
          <w:lang w:val="en-AU"/>
        </w:rPr>
        <w:t xml:space="preserve">carrier </w:t>
      </w:r>
      <w:r w:rsidR="00FB4918" w:rsidRPr="00DD4355">
        <w:rPr>
          <w:iCs/>
          <w:strike/>
          <w:color w:val="FF0000"/>
          <w:position w:val="-10"/>
        </w:rPr>
        <w:object w:dxaOrig="225" w:dyaOrig="300" w14:anchorId="11B98FAC">
          <v:shape id="_x0000_i1042" type="#_x0000_t75" style="width:10.05pt;height:15.05pt" o:ole="">
            <v:imagedata r:id="rId15" o:title=""/>
          </v:shape>
          <o:OLEObject Type="Embed" ProgID="Equation.3" ShapeID="_x0000_i1042" DrawAspect="Content" ObjectID="_1595447784" r:id="rId31"/>
        </w:object>
      </w:r>
      <w:r w:rsidR="00FB4918" w:rsidRPr="00DD4355">
        <w:rPr>
          <w:iCs/>
          <w:strike/>
          <w:color w:val="FF0000"/>
          <w:lang w:val="en-AU"/>
        </w:rPr>
        <w:t xml:space="preserve"> of </w:t>
      </w:r>
      <w:r w:rsidR="00FB4918" w:rsidRPr="00DD4355">
        <w:rPr>
          <w:strike/>
          <w:color w:val="FF0000"/>
          <w:lang w:val="en-AU"/>
        </w:rPr>
        <w:t xml:space="preserve">serving cell </w:t>
      </w:r>
      <w:r w:rsidR="00FB4918" w:rsidRPr="00DD4355">
        <w:rPr>
          <w:iCs/>
          <w:strike/>
          <w:color w:val="FF0000"/>
          <w:position w:val="-6"/>
        </w:rPr>
        <w:object w:dxaOrig="165" w:dyaOrig="210" w14:anchorId="16C974D5">
          <v:shape id="_x0000_i1043" type="#_x0000_t75" style="width:8.35pt;height:10.05pt" o:ole="">
            <v:imagedata r:id="rId17" o:title=""/>
          </v:shape>
          <o:OLEObject Type="Embed" ProgID="Equation.3" ShapeID="_x0000_i1043" DrawAspect="Content" ObjectID="_1595447785" r:id="rId32"/>
        </w:object>
      </w:r>
      <w:r w:rsidR="00FB4918" w:rsidRPr="00DD4355">
        <w:rPr>
          <w:iCs/>
          <w:strike/>
          <w:color w:val="FF0000"/>
          <w:lang w:val="en-AU"/>
        </w:rPr>
        <w:t xml:space="preserve">, with parameters as defined in Subclause </w:t>
      </w:r>
      <w:r w:rsidR="00FB4918" w:rsidRPr="00DD4355">
        <w:rPr>
          <w:iCs/>
          <w:strike/>
          <w:color w:val="FF0000"/>
        </w:rPr>
        <w:fldChar w:fldCharType="begin"/>
      </w:r>
      <w:r w:rsidR="00FB4918" w:rsidRPr="00DD4355">
        <w:rPr>
          <w:iCs/>
          <w:strike/>
          <w:color w:val="FF0000"/>
          <w:lang w:val="en-AU"/>
        </w:rPr>
        <w:instrText xml:space="preserve"> REF _Ref497117847 \h  \* MERGEFORMAT </w:instrText>
      </w:r>
      <w:r w:rsidR="00FB4918" w:rsidRPr="00DD4355">
        <w:rPr>
          <w:iCs/>
          <w:strike/>
          <w:color w:val="FF0000"/>
        </w:rPr>
      </w:r>
      <w:r w:rsidR="00FB4918" w:rsidRPr="00DD4355">
        <w:rPr>
          <w:iCs/>
          <w:strike/>
          <w:color w:val="FF0000"/>
        </w:rPr>
        <w:fldChar w:fldCharType="separate"/>
      </w:r>
      <w:r w:rsidR="00FB4918" w:rsidRPr="00DD4355">
        <w:rPr>
          <w:strike/>
          <w:color w:val="FF0000"/>
          <w:lang w:val="en-AU"/>
        </w:rPr>
        <w:t>7.1.1</w:t>
      </w:r>
      <w:r w:rsidR="00FB4918" w:rsidRPr="00DD4355">
        <w:rPr>
          <w:iCs/>
          <w:strike/>
          <w:color w:val="FF0000"/>
        </w:rPr>
        <w:fldChar w:fldCharType="end"/>
      </w:r>
      <w:r w:rsidR="00FB4918" w:rsidRPr="00E37A4C">
        <w:rPr>
          <w:iCs/>
          <w:lang w:val="en-AU"/>
        </w:rPr>
        <w:t xml:space="preserve">, </w:t>
      </w:r>
      <w:r w:rsidR="00FB4918" w:rsidRPr="00E37A4C">
        <w:rPr>
          <w:lang w:val="en-AU"/>
        </w:rPr>
        <w:t xml:space="preserve">by the ratio of the number of antenna ports with a non-zero PUSCH transmission to the </w:t>
      </w:r>
      <w:r w:rsidRPr="00DD4355">
        <w:rPr>
          <w:color w:val="FF0000"/>
          <w:u w:val="single"/>
          <w:lang w:val="en-AU"/>
        </w:rPr>
        <w:t xml:space="preserve">maximum number of </w:t>
      </w:r>
      <w:r w:rsidR="00B45321">
        <w:rPr>
          <w:color w:val="FF0000"/>
          <w:u w:val="single"/>
          <w:lang w:val="en-AU"/>
        </w:rPr>
        <w:t xml:space="preserve">PUSCH </w:t>
      </w:r>
      <w:r w:rsidRPr="00DD4355">
        <w:rPr>
          <w:color w:val="FF0000"/>
          <w:u w:val="single"/>
          <w:lang w:val="en-AU"/>
        </w:rPr>
        <w:t>layers supported by the UE</w:t>
      </w:r>
      <w:r w:rsidR="00DD4355">
        <w:rPr>
          <w:color w:val="FF0000"/>
          <w:u w:val="single"/>
          <w:lang w:val="en-AU"/>
        </w:rPr>
        <w:t xml:space="preserve"> </w:t>
      </w:r>
      <w:r w:rsidR="00FB4918" w:rsidRPr="00DD4355">
        <w:rPr>
          <w:strike/>
          <w:color w:val="FF0000"/>
          <w:lang w:val="en-AU"/>
        </w:rPr>
        <w:t>number of configured antenna ports for the transmission scheme</w:t>
      </w:r>
      <w:r w:rsidR="00FB4918" w:rsidRPr="00E37A4C">
        <w:rPr>
          <w:lang w:val="en-AU"/>
        </w:rPr>
        <w:t xml:space="preserve">. The resulting scaled power is then split equally across the antenna ports on which the non-zero PUSCH is transmitted. </w:t>
      </w:r>
    </w:p>
    <w:p w14:paraId="1EEDA3DE" w14:textId="77777777" w:rsidR="00FB4918" w:rsidRDefault="00FB4918" w:rsidP="00FB4918">
      <w:pPr>
        <w:rPr>
          <w:lang w:val="en-AU" w:eastAsia="zh-CN"/>
        </w:rPr>
      </w:pPr>
      <w:r w:rsidRPr="00883CE3">
        <w:rPr>
          <w:highlight w:val="yellow"/>
          <w:lang w:val="en-AU"/>
        </w:rPr>
        <w:t>&gt;&gt;&gt;&gt;&gt;&gt;&gt;&gt;&gt;&gt;&gt;&gt; End text proposal &gt;&gt;&gt;&gt;&gt;&gt;&gt;&gt;&gt;&gt;&gt;&gt;&gt;</w:t>
      </w:r>
    </w:p>
    <w:p w14:paraId="539184BB" w14:textId="7F46573C" w:rsidR="00FB4918" w:rsidRDefault="00670F1F" w:rsidP="001E58C2">
      <w:pPr>
        <w:rPr>
          <w:lang w:val="en-AU"/>
        </w:rPr>
      </w:pPr>
      <w:r>
        <w:rPr>
          <w:lang w:val="en-AU"/>
        </w:rPr>
        <w:t xml:space="preserve">Note that </w:t>
      </w:r>
      <w:r w:rsidR="00870C94">
        <w:rPr>
          <w:lang w:val="en-AU"/>
        </w:rPr>
        <w:t xml:space="preserve">scaling by the maximum number of PUSCH layers </w:t>
      </w:r>
      <w:r>
        <w:rPr>
          <w:lang w:val="en-AU"/>
        </w:rPr>
        <w:t xml:space="preserve">allows </w:t>
      </w:r>
      <w:r w:rsidR="005D35F2">
        <w:rPr>
          <w:lang w:val="en-AU"/>
        </w:rPr>
        <w:t xml:space="preserve">non-codebook based UEs transmitting on a single antenna port </w:t>
      </w:r>
      <w:r w:rsidR="00DC7440">
        <w:rPr>
          <w:lang w:val="en-AU"/>
        </w:rPr>
        <w:t xml:space="preserve">to do so </w:t>
      </w:r>
      <w:r w:rsidR="001E3664">
        <w:rPr>
          <w:lang w:val="en-AU"/>
        </w:rPr>
        <w:t xml:space="preserve">with </w:t>
      </w:r>
      <w:r w:rsidR="005D35F2">
        <w:rPr>
          <w:lang w:val="en-AU"/>
        </w:rPr>
        <w:t xml:space="preserve">reduced power, supporting non-full power UE implementations.  </w:t>
      </w:r>
      <w:r w:rsidR="00DC7440">
        <w:rPr>
          <w:lang w:val="en-AU"/>
        </w:rPr>
        <w:t xml:space="preserve">This use of the maximum number of layers is needed, since there is no notion of a </w:t>
      </w:r>
      <w:r w:rsidR="00DC7440">
        <w:rPr>
          <w:lang w:val="en-AU"/>
        </w:rPr>
        <w:lastRenderedPageBreak/>
        <w:t>codebook, and so no tie to the number of Tx chains in non-</w:t>
      </w:r>
      <w:proofErr w:type="gramStart"/>
      <w:r w:rsidR="00DC7440">
        <w:rPr>
          <w:lang w:val="en-AU"/>
        </w:rPr>
        <w:t>codebook based</w:t>
      </w:r>
      <w:proofErr w:type="gramEnd"/>
      <w:r w:rsidR="00DC7440">
        <w:rPr>
          <w:lang w:val="en-AU"/>
        </w:rPr>
        <w:t xml:space="preserve"> precoding.  </w:t>
      </w:r>
      <w:r w:rsidR="005D35F2">
        <w:rPr>
          <w:lang w:val="en-AU"/>
        </w:rPr>
        <w:t xml:space="preserve">Similarly, a </w:t>
      </w:r>
      <w:r>
        <w:rPr>
          <w:lang w:val="en-AU"/>
        </w:rPr>
        <w:t xml:space="preserve">non-full power UEs </w:t>
      </w:r>
      <w:r w:rsidR="00B45321">
        <w:rPr>
          <w:lang w:val="en-AU"/>
        </w:rPr>
        <w:t xml:space="preserve">having </w:t>
      </w:r>
      <w:r>
        <w:rPr>
          <w:lang w:val="en-AU"/>
        </w:rPr>
        <w:t xml:space="preserve">non- or partially-coherent UE capabilities </w:t>
      </w:r>
      <w:r w:rsidR="00DC7440">
        <w:rPr>
          <w:lang w:val="en-AU"/>
        </w:rPr>
        <w:t xml:space="preserve">can </w:t>
      </w:r>
      <w:r>
        <w:rPr>
          <w:lang w:val="en-AU"/>
        </w:rPr>
        <w:t xml:space="preserve">transmit at reduced power if a single antenna </w:t>
      </w:r>
      <w:r w:rsidR="005D48D9">
        <w:rPr>
          <w:lang w:val="en-AU"/>
        </w:rPr>
        <w:t xml:space="preserve">(or a subset of antennas) </w:t>
      </w:r>
      <w:r>
        <w:rPr>
          <w:lang w:val="en-AU"/>
        </w:rPr>
        <w:t xml:space="preserve">is selected in TPMI.  </w:t>
      </w:r>
    </w:p>
    <w:p w14:paraId="36BF2C7A" w14:textId="44A1243B" w:rsidR="00771A69" w:rsidRPr="0029430B" w:rsidRDefault="00771A69" w:rsidP="00771A69">
      <w:pPr>
        <w:pStyle w:val="Heading1"/>
        <w:rPr>
          <w:lang w:val="en-US"/>
        </w:rPr>
      </w:pPr>
      <w:r w:rsidRPr="0029430B">
        <w:rPr>
          <w:lang w:val="en-US"/>
        </w:rPr>
        <w:t>Conclusion</w:t>
      </w:r>
    </w:p>
    <w:p w14:paraId="6694D77E" w14:textId="601E05E4" w:rsidR="00771A69" w:rsidRPr="00E63B33" w:rsidRDefault="00771A69" w:rsidP="00463B74">
      <w:pPr>
        <w:keepNext/>
        <w:keepLines/>
        <w:rPr>
          <w:lang w:val="en-AU"/>
        </w:rPr>
      </w:pPr>
      <w:r w:rsidRPr="00E63B33">
        <w:rPr>
          <w:lang w:val="en-AU"/>
        </w:rPr>
        <w:t>In this contribution</w:t>
      </w:r>
      <w:r w:rsidR="00BB2D36" w:rsidRPr="00E63B33">
        <w:rPr>
          <w:lang w:val="en-AU"/>
        </w:rPr>
        <w:t xml:space="preserve">, we have considered the </w:t>
      </w:r>
      <w:r w:rsidR="000C6F88" w:rsidRPr="00E63B33">
        <w:rPr>
          <w:lang w:val="en-AU"/>
        </w:rPr>
        <w:t>Rel-15 specification of PUSCH power scaling and how it might be corrected while supporting the UE power amplifier implementations envisaged for Rel-15. We made the following observations</w:t>
      </w:r>
      <w:r w:rsidR="00546F51" w:rsidRPr="00E63B33">
        <w:rPr>
          <w:lang w:val="en-AU"/>
        </w:rPr>
        <w:t>:</w:t>
      </w:r>
    </w:p>
    <w:p w14:paraId="522EC4C0" w14:textId="4A372015" w:rsidR="00BB2D36" w:rsidRPr="00E63B33" w:rsidRDefault="00BB2D36" w:rsidP="00333ECB">
      <w:pPr>
        <w:keepNext/>
        <w:spacing w:after="0"/>
        <w:contextualSpacing/>
        <w:rPr>
          <w:b/>
          <w:u w:val="single"/>
        </w:rPr>
      </w:pPr>
      <w:r w:rsidRPr="00E63B33">
        <w:rPr>
          <w:b/>
          <w:u w:val="single"/>
        </w:rPr>
        <w:t>Observation</w:t>
      </w:r>
      <w:r w:rsidR="00BE1212" w:rsidRPr="00E63B33">
        <w:rPr>
          <w:b/>
          <w:u w:val="single"/>
        </w:rPr>
        <w:t>s</w:t>
      </w:r>
      <w:r w:rsidRPr="00E63B33">
        <w:rPr>
          <w:b/>
          <w:u w:val="single"/>
        </w:rPr>
        <w:t xml:space="preserve">: </w:t>
      </w:r>
    </w:p>
    <w:p w14:paraId="3F9109A1" w14:textId="77777777" w:rsidR="005D51F8" w:rsidRPr="00E63B33" w:rsidRDefault="005D51F8" w:rsidP="00333ECB">
      <w:pPr>
        <w:pStyle w:val="ListParagraph"/>
        <w:keepNext/>
        <w:numPr>
          <w:ilvl w:val="0"/>
          <w:numId w:val="28"/>
        </w:numPr>
        <w:rPr>
          <w:rFonts w:asciiTheme="minorHAnsi" w:hAnsiTheme="minorHAnsi"/>
          <w:lang w:val="en-AU"/>
        </w:rPr>
      </w:pPr>
      <w:r w:rsidRPr="00E63B33">
        <w:rPr>
          <w:rFonts w:asciiTheme="minorHAnsi" w:hAnsiTheme="minorHAnsi"/>
          <w:lang w:val="en-AU"/>
        </w:rPr>
        <w:t>The current Rel-15 PUSCH power scaling text is ambiguous.</w:t>
      </w:r>
    </w:p>
    <w:p w14:paraId="065D0AFD" w14:textId="77777777" w:rsidR="005D51F8" w:rsidRPr="00E63B33" w:rsidRDefault="005D51F8" w:rsidP="005D51F8">
      <w:pPr>
        <w:pStyle w:val="ListParagraph"/>
        <w:numPr>
          <w:ilvl w:val="0"/>
          <w:numId w:val="28"/>
        </w:numPr>
        <w:rPr>
          <w:rFonts w:asciiTheme="minorHAnsi" w:hAnsiTheme="minorHAnsi"/>
          <w:lang w:val="en-AU" w:eastAsia="zh-CN"/>
        </w:rPr>
      </w:pPr>
      <w:r w:rsidRPr="00E63B33">
        <w:rPr>
          <w:rFonts w:asciiTheme="minorHAnsi" w:hAnsiTheme="minorHAnsi"/>
          <w:lang w:val="en-AU" w:eastAsia="zh-CN"/>
        </w:rPr>
        <w:t>It is late in Rel-15 to introduce a separate UE capability and corresponding power control with respect to full power multiple PA transmission</w:t>
      </w:r>
    </w:p>
    <w:p w14:paraId="1F35A5AD" w14:textId="6D8D3870" w:rsidR="00044C32" w:rsidRPr="00E63B33" w:rsidRDefault="005D51F8" w:rsidP="005D51F8">
      <w:pPr>
        <w:pStyle w:val="ListParagraph"/>
        <w:numPr>
          <w:ilvl w:val="1"/>
          <w:numId w:val="28"/>
        </w:numPr>
        <w:rPr>
          <w:rFonts w:asciiTheme="minorHAnsi" w:hAnsiTheme="minorHAnsi"/>
          <w:lang w:val="en-AU" w:eastAsia="zh-CN"/>
        </w:rPr>
      </w:pPr>
      <w:r w:rsidRPr="00E63B33">
        <w:rPr>
          <w:rFonts w:asciiTheme="minorHAnsi" w:hAnsiTheme="minorHAnsi"/>
          <w:lang w:val="en-AU" w:eastAsia="zh-CN"/>
        </w:rPr>
        <w:t>Such a capability can be supported in the Rel-16 NR MIMO work item, which will specify enhancement to allow full power transmission in case of uplink transmission with multiple power amplifiers.</w:t>
      </w:r>
    </w:p>
    <w:p w14:paraId="05037FE1" w14:textId="7765D4C0" w:rsidR="00BE1212" w:rsidRPr="00E63B33" w:rsidRDefault="00BE1212" w:rsidP="00551453">
      <w:r w:rsidRPr="00E63B33">
        <w:t>We therefore propose:</w:t>
      </w:r>
    </w:p>
    <w:p w14:paraId="4B3743D4" w14:textId="2D2B462E" w:rsidR="00771A69" w:rsidRPr="00E63B33" w:rsidRDefault="00771A69" w:rsidP="00EA0790">
      <w:pPr>
        <w:spacing w:after="0"/>
        <w:rPr>
          <w:b/>
          <w:u w:val="single"/>
        </w:rPr>
      </w:pPr>
      <w:r w:rsidRPr="00E63B33">
        <w:rPr>
          <w:b/>
          <w:u w:val="single"/>
        </w:rPr>
        <w:t>Proposal:</w:t>
      </w:r>
    </w:p>
    <w:p w14:paraId="4B434E73" w14:textId="1DCE8F39" w:rsidR="00A00680" w:rsidRPr="00E63B33" w:rsidRDefault="00A00680" w:rsidP="00A00680">
      <w:pPr>
        <w:pStyle w:val="ListParagraph"/>
        <w:numPr>
          <w:ilvl w:val="0"/>
          <w:numId w:val="32"/>
        </w:numPr>
        <w:rPr>
          <w:rFonts w:asciiTheme="minorHAnsi" w:hAnsiTheme="minorHAnsi"/>
          <w:lang w:val="en-AU" w:eastAsia="zh-CN"/>
        </w:rPr>
      </w:pPr>
      <w:r w:rsidRPr="00E63B33">
        <w:rPr>
          <w:rFonts w:asciiTheme="minorHAnsi" w:hAnsiTheme="minorHAnsi"/>
          <w:lang w:val="en-AU" w:eastAsia="zh-CN"/>
        </w:rPr>
        <w:t xml:space="preserve">Clarify Rel-15 NR PUSCH power scaling specifications such that </w:t>
      </w:r>
      <w:r w:rsidR="00092449" w:rsidRPr="00E63B33">
        <w:rPr>
          <w:rFonts w:asciiTheme="minorHAnsi" w:hAnsiTheme="minorHAnsi"/>
          <w:lang w:val="en-AU" w:eastAsia="zh-CN"/>
        </w:rPr>
        <w:t xml:space="preserve">per-PA </w:t>
      </w:r>
      <w:r w:rsidRPr="00E63B33">
        <w:rPr>
          <w:rFonts w:asciiTheme="minorHAnsi" w:hAnsiTheme="minorHAnsi"/>
          <w:lang w:val="en-AU" w:eastAsia="zh-CN"/>
        </w:rPr>
        <w:t xml:space="preserve">full power </w:t>
      </w:r>
      <w:r w:rsidR="0023714F" w:rsidRPr="00E63B33">
        <w:rPr>
          <w:rFonts w:asciiTheme="minorHAnsi" w:hAnsiTheme="minorHAnsi"/>
          <w:lang w:val="en-AU" w:eastAsia="zh-CN"/>
        </w:rPr>
        <w:t>capacity</w:t>
      </w:r>
      <w:r w:rsidRPr="00E63B33">
        <w:rPr>
          <w:rFonts w:asciiTheme="minorHAnsi" w:hAnsiTheme="minorHAnsi"/>
          <w:lang w:val="en-AU" w:eastAsia="zh-CN"/>
        </w:rPr>
        <w:t xml:space="preserve"> </w:t>
      </w:r>
      <w:r w:rsidR="0023714F" w:rsidRPr="00E63B33">
        <w:rPr>
          <w:rFonts w:asciiTheme="minorHAnsi" w:hAnsiTheme="minorHAnsi"/>
        </w:rPr>
        <w:t xml:space="preserve">for all PAs in the UE </w:t>
      </w:r>
      <w:r w:rsidRPr="00E63B33">
        <w:rPr>
          <w:rFonts w:asciiTheme="minorHAnsi" w:hAnsiTheme="minorHAnsi"/>
          <w:lang w:val="en-AU" w:eastAsia="zh-CN"/>
        </w:rPr>
        <w:t>is not required for any MIMO UE capability</w:t>
      </w:r>
      <w:r w:rsidR="0023714F" w:rsidRPr="00E63B33">
        <w:rPr>
          <w:rFonts w:asciiTheme="minorHAnsi" w:hAnsiTheme="minorHAnsi"/>
          <w:lang w:val="en-AU" w:eastAsia="zh-CN"/>
        </w:rPr>
        <w:t>.</w:t>
      </w:r>
    </w:p>
    <w:p w14:paraId="07AB7CA5" w14:textId="75A27DA0" w:rsidR="00771A69" w:rsidRPr="00E63B33" w:rsidRDefault="00771A69" w:rsidP="00771A69">
      <w:pPr>
        <w:pStyle w:val="ListParagraph"/>
        <w:numPr>
          <w:ilvl w:val="0"/>
          <w:numId w:val="32"/>
        </w:numPr>
        <w:rPr>
          <w:rFonts w:asciiTheme="minorHAnsi" w:hAnsiTheme="minorHAnsi"/>
          <w:lang w:val="en-AU"/>
        </w:rPr>
      </w:pPr>
      <w:r w:rsidRPr="00E63B33">
        <w:rPr>
          <w:rFonts w:asciiTheme="minorHAnsi" w:hAnsiTheme="minorHAnsi"/>
          <w:lang w:val="en-AU"/>
        </w:rPr>
        <w:t xml:space="preserve">Adopt the text proposal provided in this contribution. </w:t>
      </w:r>
    </w:p>
    <w:p w14:paraId="75BA5ED4" w14:textId="66190F1A" w:rsidR="005F656C" w:rsidRPr="0029430B" w:rsidRDefault="005F656C" w:rsidP="005F656C">
      <w:pPr>
        <w:pStyle w:val="Heading1"/>
      </w:pPr>
      <w:r w:rsidRPr="0029430B">
        <w:t>References</w:t>
      </w:r>
    </w:p>
    <w:p w14:paraId="2122E88E" w14:textId="7F7DB8E4" w:rsidR="00990496" w:rsidRDefault="005F656C" w:rsidP="003C26D1">
      <w:pPr>
        <w:spacing w:after="0"/>
        <w:rPr>
          <w:lang w:val="en-AU"/>
        </w:rPr>
      </w:pPr>
      <w:r w:rsidRPr="003C26D1">
        <w:rPr>
          <w:lang w:val="en-AU"/>
        </w:rPr>
        <w:t>[1]</w:t>
      </w:r>
      <w:r w:rsidRPr="003C26D1">
        <w:rPr>
          <w:lang w:val="en-AU"/>
        </w:rPr>
        <w:tab/>
      </w:r>
      <w:r w:rsidR="00D72F03" w:rsidRPr="0029430B">
        <w:rPr>
          <w:lang w:val="en-AU"/>
        </w:rPr>
        <w:t>R1-1807267</w:t>
      </w:r>
      <w:r w:rsidR="00563E1E">
        <w:rPr>
          <w:lang w:val="en-AU"/>
        </w:rPr>
        <w:t>,</w:t>
      </w:r>
      <w:r w:rsidR="00D72F03" w:rsidRPr="0029430B">
        <w:rPr>
          <w:lang w:val="en-AU"/>
        </w:rPr>
        <w:t xml:space="preserve"> </w:t>
      </w:r>
      <w:r w:rsidR="00563E1E">
        <w:rPr>
          <w:lang w:val="en-AU"/>
        </w:rPr>
        <w:t>“</w:t>
      </w:r>
      <w:r w:rsidR="00D72F03" w:rsidRPr="0029430B">
        <w:rPr>
          <w:lang w:val="en-AU"/>
        </w:rPr>
        <w:t>PUSCH power scaling in UL power control</w:t>
      </w:r>
      <w:r w:rsidR="00563E1E">
        <w:rPr>
          <w:lang w:val="en-AU"/>
        </w:rPr>
        <w:t>”</w:t>
      </w:r>
      <w:r w:rsidRPr="0029430B">
        <w:rPr>
          <w:lang w:val="en-AU"/>
        </w:rPr>
        <w:t>, Ericsson, 3GPP TSG RAN WG1 Meeting #9</w:t>
      </w:r>
      <w:r w:rsidR="00D72F03" w:rsidRPr="0029430B">
        <w:rPr>
          <w:lang w:val="en-AU"/>
        </w:rPr>
        <w:t>3</w:t>
      </w:r>
    </w:p>
    <w:p w14:paraId="1FEED63F" w14:textId="3689D3F1" w:rsidR="001C785B" w:rsidRPr="0029430B" w:rsidRDefault="00563E1E" w:rsidP="00771A69">
      <w:pPr>
        <w:rPr>
          <w:lang w:val="en-AU"/>
        </w:rPr>
      </w:pPr>
      <w:r>
        <w:rPr>
          <w:lang w:val="en-AU"/>
        </w:rPr>
        <w:t>[2]</w:t>
      </w:r>
      <w:r>
        <w:rPr>
          <w:lang w:val="en-AU"/>
        </w:rPr>
        <w:tab/>
        <w:t>RP-</w:t>
      </w:r>
      <w:r w:rsidRPr="00563E1E">
        <w:rPr>
          <w:lang w:val="en-AU"/>
        </w:rPr>
        <w:t>181453</w:t>
      </w:r>
      <w:r>
        <w:rPr>
          <w:lang w:val="en-AU"/>
        </w:rPr>
        <w:t>, “</w:t>
      </w:r>
      <w:r w:rsidRPr="00563E1E">
        <w:rPr>
          <w:lang w:val="en-AU"/>
        </w:rPr>
        <w:t>WI Proposal on NR MIMO Enhancements</w:t>
      </w:r>
      <w:r>
        <w:rPr>
          <w:lang w:val="en-AU"/>
        </w:rPr>
        <w:t xml:space="preserve">”, Samsung, </w:t>
      </w:r>
      <w:r w:rsidRPr="00563E1E">
        <w:rPr>
          <w:lang w:val="en-AU"/>
        </w:rPr>
        <w:t>3GPP TSG RAN Meeting #80</w:t>
      </w:r>
    </w:p>
    <w:sectPr w:rsidR="001C785B" w:rsidRPr="0029430B" w:rsidSect="00C02A4C">
      <w:headerReference w:type="even" r:id="rId33"/>
      <w:footerReference w:type="default" r:id="rId3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64855" w14:textId="77777777" w:rsidR="00E66D50" w:rsidRDefault="00E66D50">
      <w:r>
        <w:separator/>
      </w:r>
    </w:p>
  </w:endnote>
  <w:endnote w:type="continuationSeparator" w:id="0">
    <w:p w14:paraId="1815CF28" w14:textId="77777777" w:rsidR="00E66D50" w:rsidRDefault="00E6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DA18C5" w:rsidRDefault="00DA18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F4532" w14:textId="77777777" w:rsidR="00E66D50" w:rsidRDefault="00E66D50">
      <w:r>
        <w:separator/>
      </w:r>
    </w:p>
  </w:footnote>
  <w:footnote w:type="continuationSeparator" w:id="0">
    <w:p w14:paraId="6F18BFE1" w14:textId="77777777" w:rsidR="00E66D50" w:rsidRDefault="00E66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A18C5" w:rsidRDefault="00DA18C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13E8C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06D4E89"/>
    <w:multiLevelType w:val="hybridMultilevel"/>
    <w:tmpl w:val="8CAAC58C"/>
    <w:lvl w:ilvl="0" w:tplc="6CCC2C3E">
      <w:start w:val="4"/>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363FC"/>
    <w:multiLevelType w:val="hybridMultilevel"/>
    <w:tmpl w:val="098454F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9663978"/>
    <w:multiLevelType w:val="hybridMultilevel"/>
    <w:tmpl w:val="9F1EEC92"/>
    <w:lvl w:ilvl="0" w:tplc="B5CA8498">
      <w:start w:val="5"/>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4"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9" w15:restartNumberingAfterBreak="0">
    <w:nsid w:val="48E24448"/>
    <w:multiLevelType w:val="hybridMultilevel"/>
    <w:tmpl w:val="A4027B10"/>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24CF4"/>
    <w:multiLevelType w:val="hybridMultilevel"/>
    <w:tmpl w:val="BED6ADF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55AD9"/>
    <w:multiLevelType w:val="hybridMultilevel"/>
    <w:tmpl w:val="0526C3D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6F34A9"/>
    <w:multiLevelType w:val="multilevel"/>
    <w:tmpl w:val="056447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718"/>
    <w:multiLevelType w:val="hybridMultilevel"/>
    <w:tmpl w:val="4A4CA0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0" w15:restartNumberingAfterBreak="0">
    <w:nsid w:val="67D17E12"/>
    <w:multiLevelType w:val="hybridMultilevel"/>
    <w:tmpl w:val="34B0CA5E"/>
    <w:lvl w:ilvl="0" w:tplc="FC248B0A">
      <w:numFmt w:val="bullet"/>
      <w:lvlText w:val="-"/>
      <w:lvlJc w:val="left"/>
      <w:pPr>
        <w:ind w:left="720" w:hanging="360"/>
      </w:pPr>
      <w:rPr>
        <w:rFonts w:ascii="Times New Roman" w:eastAsia="Times New Roman" w:hAnsi="Times New Roman" w:cs="Times New Roman"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1"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7A7D6BE5"/>
    <w:multiLevelType w:val="hybridMultilevel"/>
    <w:tmpl w:val="F2BE2D3A"/>
    <w:lvl w:ilvl="0" w:tplc="081D0015">
      <w:start w:val="1"/>
      <w:numFmt w:val="upp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AA90971"/>
    <w:multiLevelType w:val="hybridMultilevel"/>
    <w:tmpl w:val="BB40322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5"/>
  </w:num>
  <w:num w:numId="4">
    <w:abstractNumId w:val="16"/>
  </w:num>
  <w:num w:numId="5">
    <w:abstractNumId w:val="10"/>
  </w:num>
  <w:num w:numId="6">
    <w:abstractNumId w:val="17"/>
  </w:num>
  <w:num w:numId="7">
    <w:abstractNumId w:val="25"/>
  </w:num>
  <w:num w:numId="8">
    <w:abstractNumId w:val="11"/>
  </w:num>
  <w:num w:numId="9">
    <w:abstractNumId w:val="23"/>
  </w:num>
  <w:num w:numId="10">
    <w:abstractNumId w:val="14"/>
  </w:num>
  <w:num w:numId="11">
    <w:abstractNumId w:val="27"/>
  </w:num>
  <w:num w:numId="12">
    <w:abstractNumId w:val="20"/>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19"/>
  </w:num>
  <w:num w:numId="16">
    <w:abstractNumId w:val="30"/>
  </w:num>
  <w:num w:numId="17">
    <w:abstractNumId w:val="7"/>
  </w:num>
  <w:num w:numId="18">
    <w:abstractNumId w:val="24"/>
  </w:num>
  <w:num w:numId="19">
    <w:abstractNumId w:val="32"/>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28"/>
  </w:num>
  <w:num w:numId="28">
    <w:abstractNumId w:val="5"/>
  </w:num>
  <w:num w:numId="29">
    <w:abstractNumId w:val="6"/>
  </w:num>
  <w:num w:numId="30">
    <w:abstractNumId w:val="29"/>
  </w:num>
  <w:num w:numId="31">
    <w:abstractNumId w:val="22"/>
  </w:num>
  <w:num w:numId="32">
    <w:abstractNumId w:val="18"/>
  </w:num>
  <w:num w:numId="33">
    <w:abstractNumId w:val="13"/>
  </w:num>
  <w:num w:numId="34">
    <w:abstractNumId w:val="4"/>
  </w:num>
  <w:num w:numId="35">
    <w:abstractNumId w:val="3"/>
  </w:num>
  <w:num w:numId="36">
    <w:abstractNumId w:val="33"/>
  </w:num>
  <w:num w:numId="37">
    <w:abstractNumId w:val="8"/>
  </w:num>
  <w:num w:numId="38">
    <w:abstractNumId w:val="9"/>
  </w:num>
  <w:num w:numId="39">
    <w:abstractNumId w:val="31"/>
  </w:num>
  <w:num w:numId="4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4485"/>
    <w:rsid w:val="000144BF"/>
    <w:rsid w:val="00015D15"/>
    <w:rsid w:val="00016613"/>
    <w:rsid w:val="00016F17"/>
    <w:rsid w:val="00017ECF"/>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44EF"/>
    <w:rsid w:val="00044C32"/>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49"/>
    <w:rsid w:val="000924C1"/>
    <w:rsid w:val="000924F0"/>
    <w:rsid w:val="00093316"/>
    <w:rsid w:val="00093474"/>
    <w:rsid w:val="0009510F"/>
    <w:rsid w:val="00096845"/>
    <w:rsid w:val="000A1B7B"/>
    <w:rsid w:val="000A1BCF"/>
    <w:rsid w:val="000A2B85"/>
    <w:rsid w:val="000A56F2"/>
    <w:rsid w:val="000B2139"/>
    <w:rsid w:val="000B2517"/>
    <w:rsid w:val="000B2719"/>
    <w:rsid w:val="000B3A8F"/>
    <w:rsid w:val="000B4AB9"/>
    <w:rsid w:val="000B58C3"/>
    <w:rsid w:val="000B59C8"/>
    <w:rsid w:val="000B61E9"/>
    <w:rsid w:val="000B6D5F"/>
    <w:rsid w:val="000C165A"/>
    <w:rsid w:val="000C1AEB"/>
    <w:rsid w:val="000C25AD"/>
    <w:rsid w:val="000C2E19"/>
    <w:rsid w:val="000C4C24"/>
    <w:rsid w:val="000C65A7"/>
    <w:rsid w:val="000C6F88"/>
    <w:rsid w:val="000D0D07"/>
    <w:rsid w:val="000D1880"/>
    <w:rsid w:val="000D1E6E"/>
    <w:rsid w:val="000D4797"/>
    <w:rsid w:val="000D49DE"/>
    <w:rsid w:val="000D5070"/>
    <w:rsid w:val="000E0527"/>
    <w:rsid w:val="000E09C4"/>
    <w:rsid w:val="000E1E92"/>
    <w:rsid w:val="000E2B56"/>
    <w:rsid w:val="000E77B8"/>
    <w:rsid w:val="000F06D6"/>
    <w:rsid w:val="000F0EB1"/>
    <w:rsid w:val="000F1106"/>
    <w:rsid w:val="000F3BE9"/>
    <w:rsid w:val="000F3F6C"/>
    <w:rsid w:val="000F47C6"/>
    <w:rsid w:val="000F5D09"/>
    <w:rsid w:val="000F600C"/>
    <w:rsid w:val="000F6DF3"/>
    <w:rsid w:val="001005FF"/>
    <w:rsid w:val="0010488A"/>
    <w:rsid w:val="001062FB"/>
    <w:rsid w:val="001063E6"/>
    <w:rsid w:val="001118A8"/>
    <w:rsid w:val="00113CF4"/>
    <w:rsid w:val="0011429F"/>
    <w:rsid w:val="001153EA"/>
    <w:rsid w:val="00115643"/>
    <w:rsid w:val="00116765"/>
    <w:rsid w:val="001170AB"/>
    <w:rsid w:val="001219F5"/>
    <w:rsid w:val="00121A20"/>
    <w:rsid w:val="001231DA"/>
    <w:rsid w:val="0012329D"/>
    <w:rsid w:val="0012377F"/>
    <w:rsid w:val="00123F18"/>
    <w:rsid w:val="00124314"/>
    <w:rsid w:val="00126B27"/>
    <w:rsid w:val="00126B4A"/>
    <w:rsid w:val="00126D57"/>
    <w:rsid w:val="00127A16"/>
    <w:rsid w:val="00130FE5"/>
    <w:rsid w:val="00132FD0"/>
    <w:rsid w:val="001343DB"/>
    <w:rsid w:val="001344C0"/>
    <w:rsid w:val="001346FA"/>
    <w:rsid w:val="00135252"/>
    <w:rsid w:val="001363D1"/>
    <w:rsid w:val="00137AB5"/>
    <w:rsid w:val="00137F0B"/>
    <w:rsid w:val="00137FBD"/>
    <w:rsid w:val="00140153"/>
    <w:rsid w:val="001425D4"/>
    <w:rsid w:val="00142E84"/>
    <w:rsid w:val="00145654"/>
    <w:rsid w:val="00145A56"/>
    <w:rsid w:val="001467CE"/>
    <w:rsid w:val="00151E23"/>
    <w:rsid w:val="001526E0"/>
    <w:rsid w:val="0015373E"/>
    <w:rsid w:val="00154707"/>
    <w:rsid w:val="001551B5"/>
    <w:rsid w:val="00157D2C"/>
    <w:rsid w:val="00160D2A"/>
    <w:rsid w:val="001611E3"/>
    <w:rsid w:val="00162F87"/>
    <w:rsid w:val="0016353A"/>
    <w:rsid w:val="001659C1"/>
    <w:rsid w:val="0017041B"/>
    <w:rsid w:val="00171D10"/>
    <w:rsid w:val="00173A8E"/>
    <w:rsid w:val="001742B8"/>
    <w:rsid w:val="00175F81"/>
    <w:rsid w:val="001770B8"/>
    <w:rsid w:val="00177B76"/>
    <w:rsid w:val="0018071B"/>
    <w:rsid w:val="0018143F"/>
    <w:rsid w:val="00183F76"/>
    <w:rsid w:val="00184B0A"/>
    <w:rsid w:val="00185587"/>
    <w:rsid w:val="00185A69"/>
    <w:rsid w:val="00186D04"/>
    <w:rsid w:val="00190AC1"/>
    <w:rsid w:val="0019341A"/>
    <w:rsid w:val="00197089"/>
    <w:rsid w:val="00197DF9"/>
    <w:rsid w:val="001A092A"/>
    <w:rsid w:val="001A1987"/>
    <w:rsid w:val="001A2564"/>
    <w:rsid w:val="001A43E7"/>
    <w:rsid w:val="001A5E55"/>
    <w:rsid w:val="001A6173"/>
    <w:rsid w:val="001A6CBA"/>
    <w:rsid w:val="001B03F3"/>
    <w:rsid w:val="001B040D"/>
    <w:rsid w:val="001B0D97"/>
    <w:rsid w:val="001B5A5D"/>
    <w:rsid w:val="001B6BF8"/>
    <w:rsid w:val="001B7852"/>
    <w:rsid w:val="001C1CE5"/>
    <w:rsid w:val="001C3D2A"/>
    <w:rsid w:val="001C3FC0"/>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7AED"/>
    <w:rsid w:val="001F2DB2"/>
    <w:rsid w:val="001F36BE"/>
    <w:rsid w:val="001F3916"/>
    <w:rsid w:val="001F54C5"/>
    <w:rsid w:val="001F5D72"/>
    <w:rsid w:val="001F662C"/>
    <w:rsid w:val="001F7074"/>
    <w:rsid w:val="001F76FD"/>
    <w:rsid w:val="00200490"/>
    <w:rsid w:val="00201F3A"/>
    <w:rsid w:val="00203F96"/>
    <w:rsid w:val="002069B2"/>
    <w:rsid w:val="0020797E"/>
    <w:rsid w:val="00207FA3"/>
    <w:rsid w:val="00210B90"/>
    <w:rsid w:val="002116C8"/>
    <w:rsid w:val="00214DA8"/>
    <w:rsid w:val="00215423"/>
    <w:rsid w:val="002158FA"/>
    <w:rsid w:val="0021627C"/>
    <w:rsid w:val="00216425"/>
    <w:rsid w:val="00216FE0"/>
    <w:rsid w:val="002179E1"/>
    <w:rsid w:val="00220600"/>
    <w:rsid w:val="00220DD8"/>
    <w:rsid w:val="002224DB"/>
    <w:rsid w:val="00223F49"/>
    <w:rsid w:val="00223FCB"/>
    <w:rsid w:val="002252C3"/>
    <w:rsid w:val="002257BD"/>
    <w:rsid w:val="00225C54"/>
    <w:rsid w:val="00230765"/>
    <w:rsid w:val="002319E4"/>
    <w:rsid w:val="00233A9F"/>
    <w:rsid w:val="00233E21"/>
    <w:rsid w:val="00234B42"/>
    <w:rsid w:val="00234CA0"/>
    <w:rsid w:val="00235632"/>
    <w:rsid w:val="00235872"/>
    <w:rsid w:val="00236940"/>
    <w:rsid w:val="0023714F"/>
    <w:rsid w:val="00240462"/>
    <w:rsid w:val="00241559"/>
    <w:rsid w:val="002435B3"/>
    <w:rsid w:val="00244735"/>
    <w:rsid w:val="002451ED"/>
    <w:rsid w:val="002458EB"/>
    <w:rsid w:val="002465C9"/>
    <w:rsid w:val="00247E38"/>
    <w:rsid w:val="002500C8"/>
    <w:rsid w:val="00251916"/>
    <w:rsid w:val="00253D10"/>
    <w:rsid w:val="00257543"/>
    <w:rsid w:val="00257DDF"/>
    <w:rsid w:val="002611E7"/>
    <w:rsid w:val="002617E7"/>
    <w:rsid w:val="00263CBD"/>
    <w:rsid w:val="00264228"/>
    <w:rsid w:val="00264334"/>
    <w:rsid w:val="0026473E"/>
    <w:rsid w:val="00264F6B"/>
    <w:rsid w:val="002650C6"/>
    <w:rsid w:val="00265BA8"/>
    <w:rsid w:val="00266214"/>
    <w:rsid w:val="002671B7"/>
    <w:rsid w:val="00267C83"/>
    <w:rsid w:val="0027144F"/>
    <w:rsid w:val="00271813"/>
    <w:rsid w:val="00271F3A"/>
    <w:rsid w:val="00273278"/>
    <w:rsid w:val="002737F4"/>
    <w:rsid w:val="00273BD0"/>
    <w:rsid w:val="00277CB7"/>
    <w:rsid w:val="002805F5"/>
    <w:rsid w:val="00280751"/>
    <w:rsid w:val="0028280A"/>
    <w:rsid w:val="00286ACD"/>
    <w:rsid w:val="00287838"/>
    <w:rsid w:val="002907B5"/>
    <w:rsid w:val="0029224C"/>
    <w:rsid w:val="00292EB7"/>
    <w:rsid w:val="0029430B"/>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6176"/>
    <w:rsid w:val="002B733C"/>
    <w:rsid w:val="002C01F3"/>
    <w:rsid w:val="002C0280"/>
    <w:rsid w:val="002C0B86"/>
    <w:rsid w:val="002C1610"/>
    <w:rsid w:val="002C41E6"/>
    <w:rsid w:val="002C4CEA"/>
    <w:rsid w:val="002D071A"/>
    <w:rsid w:val="002D2370"/>
    <w:rsid w:val="002D34B2"/>
    <w:rsid w:val="002D407B"/>
    <w:rsid w:val="002D43C7"/>
    <w:rsid w:val="002D5A9A"/>
    <w:rsid w:val="002D7637"/>
    <w:rsid w:val="002E093B"/>
    <w:rsid w:val="002E17F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BEB"/>
    <w:rsid w:val="00311E82"/>
    <w:rsid w:val="00312E33"/>
    <w:rsid w:val="00313FD6"/>
    <w:rsid w:val="003143BD"/>
    <w:rsid w:val="003144ED"/>
    <w:rsid w:val="00315B12"/>
    <w:rsid w:val="003203ED"/>
    <w:rsid w:val="003212B8"/>
    <w:rsid w:val="00322C9F"/>
    <w:rsid w:val="00322F83"/>
    <w:rsid w:val="00324D23"/>
    <w:rsid w:val="0032713F"/>
    <w:rsid w:val="00327997"/>
    <w:rsid w:val="00331751"/>
    <w:rsid w:val="00331846"/>
    <w:rsid w:val="00331B7B"/>
    <w:rsid w:val="00333AA3"/>
    <w:rsid w:val="00333ECB"/>
    <w:rsid w:val="00334579"/>
    <w:rsid w:val="00335858"/>
    <w:rsid w:val="00336014"/>
    <w:rsid w:val="00336BDA"/>
    <w:rsid w:val="00341900"/>
    <w:rsid w:val="00341FEB"/>
    <w:rsid w:val="00342BD7"/>
    <w:rsid w:val="00346DB5"/>
    <w:rsid w:val="00346E10"/>
    <w:rsid w:val="00347233"/>
    <w:rsid w:val="003474E4"/>
    <w:rsid w:val="003477B1"/>
    <w:rsid w:val="0035590D"/>
    <w:rsid w:val="00356A14"/>
    <w:rsid w:val="003570C6"/>
    <w:rsid w:val="00357380"/>
    <w:rsid w:val="003602D9"/>
    <w:rsid w:val="003604CE"/>
    <w:rsid w:val="0036056F"/>
    <w:rsid w:val="0036133B"/>
    <w:rsid w:val="00362946"/>
    <w:rsid w:val="00364E64"/>
    <w:rsid w:val="00370E47"/>
    <w:rsid w:val="003713A5"/>
    <w:rsid w:val="003742AC"/>
    <w:rsid w:val="00374ADB"/>
    <w:rsid w:val="003773A8"/>
    <w:rsid w:val="003773D1"/>
    <w:rsid w:val="00377CE1"/>
    <w:rsid w:val="003802D7"/>
    <w:rsid w:val="00380BA4"/>
    <w:rsid w:val="00385BF0"/>
    <w:rsid w:val="00386FE5"/>
    <w:rsid w:val="00387C91"/>
    <w:rsid w:val="003904DB"/>
    <w:rsid w:val="003939FF"/>
    <w:rsid w:val="003941EA"/>
    <w:rsid w:val="003947C2"/>
    <w:rsid w:val="003972CD"/>
    <w:rsid w:val="0039748E"/>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AC9"/>
    <w:rsid w:val="003B3B1E"/>
    <w:rsid w:val="003B784C"/>
    <w:rsid w:val="003B7FE5"/>
    <w:rsid w:val="003C11C8"/>
    <w:rsid w:val="003C26D1"/>
    <w:rsid w:val="003C2702"/>
    <w:rsid w:val="003C2945"/>
    <w:rsid w:val="003C3069"/>
    <w:rsid w:val="003C4A50"/>
    <w:rsid w:val="003C4F2A"/>
    <w:rsid w:val="003C7806"/>
    <w:rsid w:val="003D05EA"/>
    <w:rsid w:val="003D064E"/>
    <w:rsid w:val="003D109F"/>
    <w:rsid w:val="003D2275"/>
    <w:rsid w:val="003D2478"/>
    <w:rsid w:val="003D3C45"/>
    <w:rsid w:val="003D3E76"/>
    <w:rsid w:val="003D4098"/>
    <w:rsid w:val="003D5B1F"/>
    <w:rsid w:val="003E15FA"/>
    <w:rsid w:val="003E55E4"/>
    <w:rsid w:val="003E74E3"/>
    <w:rsid w:val="003E7670"/>
    <w:rsid w:val="003F05C7"/>
    <w:rsid w:val="003F2CD4"/>
    <w:rsid w:val="003F304B"/>
    <w:rsid w:val="003F362C"/>
    <w:rsid w:val="003F38C3"/>
    <w:rsid w:val="003F6BBE"/>
    <w:rsid w:val="003F6FF7"/>
    <w:rsid w:val="003F738A"/>
    <w:rsid w:val="004000E8"/>
    <w:rsid w:val="004014F6"/>
    <w:rsid w:val="0040216C"/>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2753"/>
    <w:rsid w:val="004237F6"/>
    <w:rsid w:val="004242F4"/>
    <w:rsid w:val="0042525B"/>
    <w:rsid w:val="00427248"/>
    <w:rsid w:val="00432153"/>
    <w:rsid w:val="004329F3"/>
    <w:rsid w:val="004332D9"/>
    <w:rsid w:val="0043620E"/>
    <w:rsid w:val="00437447"/>
    <w:rsid w:val="00441782"/>
    <w:rsid w:val="00441A92"/>
    <w:rsid w:val="00443A96"/>
    <w:rsid w:val="00444F56"/>
    <w:rsid w:val="00446488"/>
    <w:rsid w:val="00447DE1"/>
    <w:rsid w:val="004517AA"/>
    <w:rsid w:val="00452CAC"/>
    <w:rsid w:val="0045382F"/>
    <w:rsid w:val="00453967"/>
    <w:rsid w:val="00456756"/>
    <w:rsid w:val="00456794"/>
    <w:rsid w:val="00457565"/>
    <w:rsid w:val="00457B71"/>
    <w:rsid w:val="00463B74"/>
    <w:rsid w:val="0046569C"/>
    <w:rsid w:val="00465ABC"/>
    <w:rsid w:val="004663A6"/>
    <w:rsid w:val="004669E2"/>
    <w:rsid w:val="00470C31"/>
    <w:rsid w:val="00472511"/>
    <w:rsid w:val="0047299D"/>
    <w:rsid w:val="004734D0"/>
    <w:rsid w:val="0047488D"/>
    <w:rsid w:val="0047556B"/>
    <w:rsid w:val="00475DD4"/>
    <w:rsid w:val="00476C25"/>
    <w:rsid w:val="00477768"/>
    <w:rsid w:val="00477AF2"/>
    <w:rsid w:val="00477B73"/>
    <w:rsid w:val="00485FFC"/>
    <w:rsid w:val="00490A9C"/>
    <w:rsid w:val="00492915"/>
    <w:rsid w:val="00492BC5"/>
    <w:rsid w:val="00493116"/>
    <w:rsid w:val="00494846"/>
    <w:rsid w:val="004960A3"/>
    <w:rsid w:val="004964F1"/>
    <w:rsid w:val="00496F74"/>
    <w:rsid w:val="004978E4"/>
    <w:rsid w:val="004A16BC"/>
    <w:rsid w:val="004A2B94"/>
    <w:rsid w:val="004A347A"/>
    <w:rsid w:val="004A5B39"/>
    <w:rsid w:val="004B211B"/>
    <w:rsid w:val="004B306B"/>
    <w:rsid w:val="004B5006"/>
    <w:rsid w:val="004B5DEF"/>
    <w:rsid w:val="004B7C0C"/>
    <w:rsid w:val="004C3898"/>
    <w:rsid w:val="004D022B"/>
    <w:rsid w:val="004D059A"/>
    <w:rsid w:val="004D1DAE"/>
    <w:rsid w:val="004D36B1"/>
    <w:rsid w:val="004D4A05"/>
    <w:rsid w:val="004D5974"/>
    <w:rsid w:val="004D59EF"/>
    <w:rsid w:val="004D60BD"/>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4A59"/>
    <w:rsid w:val="0050591F"/>
    <w:rsid w:val="00506557"/>
    <w:rsid w:val="0050677A"/>
    <w:rsid w:val="00506B06"/>
    <w:rsid w:val="005108D8"/>
    <w:rsid w:val="00511236"/>
    <w:rsid w:val="005116F9"/>
    <w:rsid w:val="00512BA8"/>
    <w:rsid w:val="00513646"/>
    <w:rsid w:val="005153A7"/>
    <w:rsid w:val="00517FA4"/>
    <w:rsid w:val="005219CF"/>
    <w:rsid w:val="00522D6A"/>
    <w:rsid w:val="0052472F"/>
    <w:rsid w:val="005308A0"/>
    <w:rsid w:val="00534755"/>
    <w:rsid w:val="00534B59"/>
    <w:rsid w:val="00534E6D"/>
    <w:rsid w:val="00534FD7"/>
    <w:rsid w:val="00536759"/>
    <w:rsid w:val="00537C62"/>
    <w:rsid w:val="0054282F"/>
    <w:rsid w:val="00542D4E"/>
    <w:rsid w:val="00546774"/>
    <w:rsid w:val="00546970"/>
    <w:rsid w:val="00546F51"/>
    <w:rsid w:val="00550442"/>
    <w:rsid w:val="00551453"/>
    <w:rsid w:val="00554192"/>
    <w:rsid w:val="00554D21"/>
    <w:rsid w:val="00554E19"/>
    <w:rsid w:val="00555386"/>
    <w:rsid w:val="005566E2"/>
    <w:rsid w:val="0056121F"/>
    <w:rsid w:val="00561C92"/>
    <w:rsid w:val="0056225C"/>
    <w:rsid w:val="005627B2"/>
    <w:rsid w:val="00563E1E"/>
    <w:rsid w:val="00565404"/>
    <w:rsid w:val="00572505"/>
    <w:rsid w:val="00573920"/>
    <w:rsid w:val="00573C3B"/>
    <w:rsid w:val="00573CFD"/>
    <w:rsid w:val="00573D3D"/>
    <w:rsid w:val="0057567A"/>
    <w:rsid w:val="00575DA6"/>
    <w:rsid w:val="005814C6"/>
    <w:rsid w:val="00582446"/>
    <w:rsid w:val="005825E5"/>
    <w:rsid w:val="00582809"/>
    <w:rsid w:val="00583AF4"/>
    <w:rsid w:val="00583B33"/>
    <w:rsid w:val="00583C4F"/>
    <w:rsid w:val="00583D71"/>
    <w:rsid w:val="0058770A"/>
    <w:rsid w:val="0058798C"/>
    <w:rsid w:val="005900FA"/>
    <w:rsid w:val="00590648"/>
    <w:rsid w:val="00590EB2"/>
    <w:rsid w:val="00591A52"/>
    <w:rsid w:val="00592A06"/>
    <w:rsid w:val="00592B54"/>
    <w:rsid w:val="005935A4"/>
    <w:rsid w:val="005939D4"/>
    <w:rsid w:val="005948C2"/>
    <w:rsid w:val="00595DCA"/>
    <w:rsid w:val="0059779B"/>
    <w:rsid w:val="005A019E"/>
    <w:rsid w:val="005A062E"/>
    <w:rsid w:val="005A209A"/>
    <w:rsid w:val="005A28ED"/>
    <w:rsid w:val="005A2A5C"/>
    <w:rsid w:val="005A49CF"/>
    <w:rsid w:val="005A5DD4"/>
    <w:rsid w:val="005A662D"/>
    <w:rsid w:val="005B1993"/>
    <w:rsid w:val="005B1C49"/>
    <w:rsid w:val="005B20AF"/>
    <w:rsid w:val="005B35D7"/>
    <w:rsid w:val="005B392A"/>
    <w:rsid w:val="005B3AA3"/>
    <w:rsid w:val="005B4BD9"/>
    <w:rsid w:val="005B4D3D"/>
    <w:rsid w:val="005B4D54"/>
    <w:rsid w:val="005B6DAD"/>
    <w:rsid w:val="005B6F83"/>
    <w:rsid w:val="005C03D2"/>
    <w:rsid w:val="005C15F6"/>
    <w:rsid w:val="005C2ECC"/>
    <w:rsid w:val="005C3A4D"/>
    <w:rsid w:val="005C5459"/>
    <w:rsid w:val="005C74FB"/>
    <w:rsid w:val="005C7D9B"/>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448D"/>
    <w:rsid w:val="005E5490"/>
    <w:rsid w:val="005E5B81"/>
    <w:rsid w:val="005E6F7D"/>
    <w:rsid w:val="005F200B"/>
    <w:rsid w:val="005F2CB1"/>
    <w:rsid w:val="005F3025"/>
    <w:rsid w:val="005F3F57"/>
    <w:rsid w:val="005F618C"/>
    <w:rsid w:val="005F656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44E"/>
    <w:rsid w:val="006368D3"/>
    <w:rsid w:val="00636A88"/>
    <w:rsid w:val="00636B5D"/>
    <w:rsid w:val="006377EC"/>
    <w:rsid w:val="00637953"/>
    <w:rsid w:val="00640F3B"/>
    <w:rsid w:val="0064151F"/>
    <w:rsid w:val="00641533"/>
    <w:rsid w:val="0064208D"/>
    <w:rsid w:val="00643475"/>
    <w:rsid w:val="0064396A"/>
    <w:rsid w:val="00644DD5"/>
    <w:rsid w:val="0064624E"/>
    <w:rsid w:val="0064679A"/>
    <w:rsid w:val="00647EA3"/>
    <w:rsid w:val="00650AB9"/>
    <w:rsid w:val="00651053"/>
    <w:rsid w:val="0065322C"/>
    <w:rsid w:val="00655121"/>
    <w:rsid w:val="0065553E"/>
    <w:rsid w:val="00655733"/>
    <w:rsid w:val="00655ACD"/>
    <w:rsid w:val="00656A92"/>
    <w:rsid w:val="00656DDE"/>
    <w:rsid w:val="0066011D"/>
    <w:rsid w:val="006607C0"/>
    <w:rsid w:val="006613A6"/>
    <w:rsid w:val="00662419"/>
    <w:rsid w:val="006627A2"/>
    <w:rsid w:val="006634E6"/>
    <w:rsid w:val="006655EE"/>
    <w:rsid w:val="00665D97"/>
    <w:rsid w:val="00665FFC"/>
    <w:rsid w:val="00666B33"/>
    <w:rsid w:val="00667EE7"/>
    <w:rsid w:val="00670922"/>
    <w:rsid w:val="00670BE1"/>
    <w:rsid w:val="00670F1F"/>
    <w:rsid w:val="0067218F"/>
    <w:rsid w:val="006741F2"/>
    <w:rsid w:val="00674CC3"/>
    <w:rsid w:val="00675C72"/>
    <w:rsid w:val="00676122"/>
    <w:rsid w:val="00676801"/>
    <w:rsid w:val="006771F9"/>
    <w:rsid w:val="006776D7"/>
    <w:rsid w:val="00680E63"/>
    <w:rsid w:val="00680FE2"/>
    <w:rsid w:val="00681003"/>
    <w:rsid w:val="006817C9"/>
    <w:rsid w:val="00683ECE"/>
    <w:rsid w:val="00686B2C"/>
    <w:rsid w:val="00687BA5"/>
    <w:rsid w:val="00693617"/>
    <w:rsid w:val="00695126"/>
    <w:rsid w:val="006951A6"/>
    <w:rsid w:val="00695FC2"/>
    <w:rsid w:val="00696949"/>
    <w:rsid w:val="00696DED"/>
    <w:rsid w:val="00697052"/>
    <w:rsid w:val="006A46FB"/>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B0"/>
    <w:rsid w:val="006C0F47"/>
    <w:rsid w:val="006C5457"/>
    <w:rsid w:val="006C570E"/>
    <w:rsid w:val="006C5EC9"/>
    <w:rsid w:val="006C6059"/>
    <w:rsid w:val="006C6DC1"/>
    <w:rsid w:val="006C6E7D"/>
    <w:rsid w:val="006C7522"/>
    <w:rsid w:val="006D197C"/>
    <w:rsid w:val="006D21ED"/>
    <w:rsid w:val="006D27AF"/>
    <w:rsid w:val="006D6F08"/>
    <w:rsid w:val="006D71ED"/>
    <w:rsid w:val="006E062C"/>
    <w:rsid w:val="006E1514"/>
    <w:rsid w:val="006E173C"/>
    <w:rsid w:val="006E18CD"/>
    <w:rsid w:val="006E1906"/>
    <w:rsid w:val="006E2288"/>
    <w:rsid w:val="006E28B7"/>
    <w:rsid w:val="006E3310"/>
    <w:rsid w:val="006E4E39"/>
    <w:rsid w:val="006E5500"/>
    <w:rsid w:val="006E565E"/>
    <w:rsid w:val="006E5C6A"/>
    <w:rsid w:val="006E673D"/>
    <w:rsid w:val="006E6F50"/>
    <w:rsid w:val="006E7549"/>
    <w:rsid w:val="006E7D3B"/>
    <w:rsid w:val="006F0C95"/>
    <w:rsid w:val="006F123E"/>
    <w:rsid w:val="006F1B70"/>
    <w:rsid w:val="006F2EF6"/>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6732"/>
    <w:rsid w:val="00717E83"/>
    <w:rsid w:val="007227B2"/>
    <w:rsid w:val="0072663A"/>
    <w:rsid w:val="00726EA6"/>
    <w:rsid w:val="00727208"/>
    <w:rsid w:val="00727680"/>
    <w:rsid w:val="007320B8"/>
    <w:rsid w:val="00732600"/>
    <w:rsid w:val="007348B1"/>
    <w:rsid w:val="00734AAF"/>
    <w:rsid w:val="00735C59"/>
    <w:rsid w:val="007362A6"/>
    <w:rsid w:val="00736D7D"/>
    <w:rsid w:val="00737FB0"/>
    <w:rsid w:val="00740E58"/>
    <w:rsid w:val="00742802"/>
    <w:rsid w:val="0074315E"/>
    <w:rsid w:val="0074459E"/>
    <w:rsid w:val="007445A0"/>
    <w:rsid w:val="0074524B"/>
    <w:rsid w:val="00747D8B"/>
    <w:rsid w:val="00751228"/>
    <w:rsid w:val="00753486"/>
    <w:rsid w:val="00753FF4"/>
    <w:rsid w:val="007550B2"/>
    <w:rsid w:val="007571E1"/>
    <w:rsid w:val="007604B2"/>
    <w:rsid w:val="00760BD3"/>
    <w:rsid w:val="00761B49"/>
    <w:rsid w:val="0076299E"/>
    <w:rsid w:val="00763983"/>
    <w:rsid w:val="00763DB8"/>
    <w:rsid w:val="00764180"/>
    <w:rsid w:val="00765281"/>
    <w:rsid w:val="007666E8"/>
    <w:rsid w:val="00766BAD"/>
    <w:rsid w:val="00771A69"/>
    <w:rsid w:val="0077381A"/>
    <w:rsid w:val="007740D7"/>
    <w:rsid w:val="007755F2"/>
    <w:rsid w:val="00776705"/>
    <w:rsid w:val="00776971"/>
    <w:rsid w:val="00777255"/>
    <w:rsid w:val="007775CC"/>
    <w:rsid w:val="00777D37"/>
    <w:rsid w:val="00777F7A"/>
    <w:rsid w:val="0078177E"/>
    <w:rsid w:val="0078193F"/>
    <w:rsid w:val="00783001"/>
    <w:rsid w:val="0078304C"/>
    <w:rsid w:val="00783465"/>
    <w:rsid w:val="00783673"/>
    <w:rsid w:val="00785490"/>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258C"/>
    <w:rsid w:val="007B2962"/>
    <w:rsid w:val="007B3D2D"/>
    <w:rsid w:val="007B50AE"/>
    <w:rsid w:val="007B51DF"/>
    <w:rsid w:val="007B65CE"/>
    <w:rsid w:val="007B6D86"/>
    <w:rsid w:val="007B7374"/>
    <w:rsid w:val="007B774B"/>
    <w:rsid w:val="007C05DD"/>
    <w:rsid w:val="007C21BC"/>
    <w:rsid w:val="007C3D18"/>
    <w:rsid w:val="007C47AB"/>
    <w:rsid w:val="007C4ED7"/>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53D6"/>
    <w:rsid w:val="007E7091"/>
    <w:rsid w:val="007F0677"/>
    <w:rsid w:val="007F072E"/>
    <w:rsid w:val="007F13C4"/>
    <w:rsid w:val="007F75D5"/>
    <w:rsid w:val="00802470"/>
    <w:rsid w:val="00803122"/>
    <w:rsid w:val="00803FAE"/>
    <w:rsid w:val="008054E8"/>
    <w:rsid w:val="00805AB5"/>
    <w:rsid w:val="0080605F"/>
    <w:rsid w:val="00806EE7"/>
    <w:rsid w:val="00807786"/>
    <w:rsid w:val="008079B6"/>
    <w:rsid w:val="0081043E"/>
    <w:rsid w:val="00810A3F"/>
    <w:rsid w:val="008112E8"/>
    <w:rsid w:val="00811B55"/>
    <w:rsid w:val="00811FCB"/>
    <w:rsid w:val="00814DF6"/>
    <w:rsid w:val="008158D6"/>
    <w:rsid w:val="00817196"/>
    <w:rsid w:val="008235DB"/>
    <w:rsid w:val="00824AB4"/>
    <w:rsid w:val="00825C42"/>
    <w:rsid w:val="00825D25"/>
    <w:rsid w:val="00827D6F"/>
    <w:rsid w:val="00827EF8"/>
    <w:rsid w:val="008328EA"/>
    <w:rsid w:val="00834689"/>
    <w:rsid w:val="008370EA"/>
    <w:rsid w:val="008376AC"/>
    <w:rsid w:val="008403CE"/>
    <w:rsid w:val="00842EA5"/>
    <w:rsid w:val="008444E8"/>
    <w:rsid w:val="00844E80"/>
    <w:rsid w:val="00846FE7"/>
    <w:rsid w:val="00852402"/>
    <w:rsid w:val="00852BBD"/>
    <w:rsid w:val="00854E76"/>
    <w:rsid w:val="00856911"/>
    <w:rsid w:val="00856AAA"/>
    <w:rsid w:val="00856E89"/>
    <w:rsid w:val="00862B39"/>
    <w:rsid w:val="0086462F"/>
    <w:rsid w:val="00865E18"/>
    <w:rsid w:val="00866BC0"/>
    <w:rsid w:val="008677FD"/>
    <w:rsid w:val="008706D4"/>
    <w:rsid w:val="00870918"/>
    <w:rsid w:val="00870C94"/>
    <w:rsid w:val="00870F8A"/>
    <w:rsid w:val="008719A4"/>
    <w:rsid w:val="00871D23"/>
    <w:rsid w:val="00874312"/>
    <w:rsid w:val="0087437C"/>
    <w:rsid w:val="00875CD7"/>
    <w:rsid w:val="0087641E"/>
    <w:rsid w:val="00876B4D"/>
    <w:rsid w:val="00876F50"/>
    <w:rsid w:val="00877F18"/>
    <w:rsid w:val="00877F78"/>
    <w:rsid w:val="00883CE3"/>
    <w:rsid w:val="008858FB"/>
    <w:rsid w:val="0088600F"/>
    <w:rsid w:val="008923DC"/>
    <w:rsid w:val="00894A88"/>
    <w:rsid w:val="00895386"/>
    <w:rsid w:val="008A07FB"/>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4958"/>
    <w:rsid w:val="008C4BAA"/>
    <w:rsid w:val="008C5641"/>
    <w:rsid w:val="008C6AE8"/>
    <w:rsid w:val="008C7573"/>
    <w:rsid w:val="008C7B72"/>
    <w:rsid w:val="008D10E2"/>
    <w:rsid w:val="008D23DB"/>
    <w:rsid w:val="008D2BA4"/>
    <w:rsid w:val="008D34F1"/>
    <w:rsid w:val="008D39D8"/>
    <w:rsid w:val="008D6D1A"/>
    <w:rsid w:val="008E065E"/>
    <w:rsid w:val="008E0927"/>
    <w:rsid w:val="008E09D0"/>
    <w:rsid w:val="008E1909"/>
    <w:rsid w:val="008E4E0B"/>
    <w:rsid w:val="008E711D"/>
    <w:rsid w:val="008E72EF"/>
    <w:rsid w:val="008F026D"/>
    <w:rsid w:val="008F0EA2"/>
    <w:rsid w:val="008F1EAB"/>
    <w:rsid w:val="008F234C"/>
    <w:rsid w:val="008F33DC"/>
    <w:rsid w:val="008F477F"/>
    <w:rsid w:val="008F68E1"/>
    <w:rsid w:val="00901115"/>
    <w:rsid w:val="00902350"/>
    <w:rsid w:val="0090336B"/>
    <w:rsid w:val="00904CFD"/>
    <w:rsid w:val="009053AA"/>
    <w:rsid w:val="00905990"/>
    <w:rsid w:val="00906939"/>
    <w:rsid w:val="00910B7D"/>
    <w:rsid w:val="00911DFB"/>
    <w:rsid w:val="009139D9"/>
    <w:rsid w:val="00914AD8"/>
    <w:rsid w:val="00916079"/>
    <w:rsid w:val="00916118"/>
    <w:rsid w:val="00917CE9"/>
    <w:rsid w:val="0092069A"/>
    <w:rsid w:val="009208D7"/>
    <w:rsid w:val="00920BF2"/>
    <w:rsid w:val="00922010"/>
    <w:rsid w:val="00923793"/>
    <w:rsid w:val="00923D6D"/>
    <w:rsid w:val="00924DC4"/>
    <w:rsid w:val="009255E6"/>
    <w:rsid w:val="00930CC5"/>
    <w:rsid w:val="00931BD9"/>
    <w:rsid w:val="00931E21"/>
    <w:rsid w:val="00935739"/>
    <w:rsid w:val="009368F3"/>
    <w:rsid w:val="00936C4A"/>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C34"/>
    <w:rsid w:val="0097493A"/>
    <w:rsid w:val="0097603D"/>
    <w:rsid w:val="00976949"/>
    <w:rsid w:val="00980321"/>
    <w:rsid w:val="00980477"/>
    <w:rsid w:val="00982379"/>
    <w:rsid w:val="00982946"/>
    <w:rsid w:val="009839A9"/>
    <w:rsid w:val="00985253"/>
    <w:rsid w:val="009853B3"/>
    <w:rsid w:val="00985BFD"/>
    <w:rsid w:val="00990496"/>
    <w:rsid w:val="00990630"/>
    <w:rsid w:val="00990F81"/>
    <w:rsid w:val="00991761"/>
    <w:rsid w:val="00994DCA"/>
    <w:rsid w:val="009960EC"/>
    <w:rsid w:val="009970DD"/>
    <w:rsid w:val="00997CB2"/>
    <w:rsid w:val="009A0FBA"/>
    <w:rsid w:val="009A1601"/>
    <w:rsid w:val="009A18A7"/>
    <w:rsid w:val="009A4210"/>
    <w:rsid w:val="009A462D"/>
    <w:rsid w:val="009A5CBA"/>
    <w:rsid w:val="009A7113"/>
    <w:rsid w:val="009B0A15"/>
    <w:rsid w:val="009B1F30"/>
    <w:rsid w:val="009B2162"/>
    <w:rsid w:val="009B3AC2"/>
    <w:rsid w:val="009B4DF4"/>
    <w:rsid w:val="009B564E"/>
    <w:rsid w:val="009B5FF0"/>
    <w:rsid w:val="009B7E87"/>
    <w:rsid w:val="009C403E"/>
    <w:rsid w:val="009C6832"/>
    <w:rsid w:val="009D1F11"/>
    <w:rsid w:val="009D3180"/>
    <w:rsid w:val="009D4E32"/>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A00680"/>
    <w:rsid w:val="00A00704"/>
    <w:rsid w:val="00A01C14"/>
    <w:rsid w:val="00A031D8"/>
    <w:rsid w:val="00A041FE"/>
    <w:rsid w:val="00A048A8"/>
    <w:rsid w:val="00A04F49"/>
    <w:rsid w:val="00A052C1"/>
    <w:rsid w:val="00A05A89"/>
    <w:rsid w:val="00A06454"/>
    <w:rsid w:val="00A13B72"/>
    <w:rsid w:val="00A13E54"/>
    <w:rsid w:val="00A15471"/>
    <w:rsid w:val="00A15745"/>
    <w:rsid w:val="00A16C61"/>
    <w:rsid w:val="00A16FA2"/>
    <w:rsid w:val="00A17F63"/>
    <w:rsid w:val="00A2193B"/>
    <w:rsid w:val="00A2351A"/>
    <w:rsid w:val="00A25CEA"/>
    <w:rsid w:val="00A264A9"/>
    <w:rsid w:val="00A269E0"/>
    <w:rsid w:val="00A27785"/>
    <w:rsid w:val="00A278A1"/>
    <w:rsid w:val="00A30187"/>
    <w:rsid w:val="00A30B29"/>
    <w:rsid w:val="00A30DE4"/>
    <w:rsid w:val="00A33BAA"/>
    <w:rsid w:val="00A33EC7"/>
    <w:rsid w:val="00A3448A"/>
    <w:rsid w:val="00A36297"/>
    <w:rsid w:val="00A36BE0"/>
    <w:rsid w:val="00A41E2B"/>
    <w:rsid w:val="00A4597C"/>
    <w:rsid w:val="00A45B74"/>
    <w:rsid w:val="00A47318"/>
    <w:rsid w:val="00A52E1D"/>
    <w:rsid w:val="00A55B8E"/>
    <w:rsid w:val="00A566D4"/>
    <w:rsid w:val="00A60726"/>
    <w:rsid w:val="00A61499"/>
    <w:rsid w:val="00A62A77"/>
    <w:rsid w:val="00A6337B"/>
    <w:rsid w:val="00A63483"/>
    <w:rsid w:val="00A642E7"/>
    <w:rsid w:val="00A657D7"/>
    <w:rsid w:val="00A660AC"/>
    <w:rsid w:val="00A67E6C"/>
    <w:rsid w:val="00A70360"/>
    <w:rsid w:val="00A7052A"/>
    <w:rsid w:val="00A7076D"/>
    <w:rsid w:val="00A71B99"/>
    <w:rsid w:val="00A739D0"/>
    <w:rsid w:val="00A73EDE"/>
    <w:rsid w:val="00A7402E"/>
    <w:rsid w:val="00A75CB1"/>
    <w:rsid w:val="00A760E9"/>
    <w:rsid w:val="00A761D4"/>
    <w:rsid w:val="00A77EC4"/>
    <w:rsid w:val="00A853FE"/>
    <w:rsid w:val="00A85C6C"/>
    <w:rsid w:val="00A85EF6"/>
    <w:rsid w:val="00A86EC3"/>
    <w:rsid w:val="00A90742"/>
    <w:rsid w:val="00A92879"/>
    <w:rsid w:val="00A9433C"/>
    <w:rsid w:val="00A9442A"/>
    <w:rsid w:val="00AA016F"/>
    <w:rsid w:val="00AA1ED6"/>
    <w:rsid w:val="00AA2151"/>
    <w:rsid w:val="00AA51D6"/>
    <w:rsid w:val="00AA62C4"/>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2FDC"/>
    <w:rsid w:val="00AD3F94"/>
    <w:rsid w:val="00AD45AE"/>
    <w:rsid w:val="00AD4A5A"/>
    <w:rsid w:val="00AE27AC"/>
    <w:rsid w:val="00AE2FEB"/>
    <w:rsid w:val="00AE40E0"/>
    <w:rsid w:val="00AE4DBA"/>
    <w:rsid w:val="00AE4F07"/>
    <w:rsid w:val="00AE5B8D"/>
    <w:rsid w:val="00AE5D18"/>
    <w:rsid w:val="00AE7823"/>
    <w:rsid w:val="00AF0198"/>
    <w:rsid w:val="00AF0E96"/>
    <w:rsid w:val="00AF1C2D"/>
    <w:rsid w:val="00AF1C5D"/>
    <w:rsid w:val="00AF2DF4"/>
    <w:rsid w:val="00AF3C84"/>
    <w:rsid w:val="00AF42D7"/>
    <w:rsid w:val="00B00240"/>
    <w:rsid w:val="00B006FE"/>
    <w:rsid w:val="00B007CB"/>
    <w:rsid w:val="00B01032"/>
    <w:rsid w:val="00B019B2"/>
    <w:rsid w:val="00B01EA9"/>
    <w:rsid w:val="00B02AA9"/>
    <w:rsid w:val="00B02FA3"/>
    <w:rsid w:val="00B03374"/>
    <w:rsid w:val="00B05084"/>
    <w:rsid w:val="00B110F3"/>
    <w:rsid w:val="00B1174B"/>
    <w:rsid w:val="00B13BC8"/>
    <w:rsid w:val="00B147EF"/>
    <w:rsid w:val="00B157F9"/>
    <w:rsid w:val="00B16AC4"/>
    <w:rsid w:val="00B20256"/>
    <w:rsid w:val="00B20D09"/>
    <w:rsid w:val="00B2763F"/>
    <w:rsid w:val="00B27AAC"/>
    <w:rsid w:val="00B30929"/>
    <w:rsid w:val="00B36A76"/>
    <w:rsid w:val="00B36F5B"/>
    <w:rsid w:val="00B372AA"/>
    <w:rsid w:val="00B40445"/>
    <w:rsid w:val="00B41888"/>
    <w:rsid w:val="00B45308"/>
    <w:rsid w:val="00B45321"/>
    <w:rsid w:val="00B45902"/>
    <w:rsid w:val="00B45A52"/>
    <w:rsid w:val="00B46175"/>
    <w:rsid w:val="00B5197F"/>
    <w:rsid w:val="00B53518"/>
    <w:rsid w:val="00B53F90"/>
    <w:rsid w:val="00B55315"/>
    <w:rsid w:val="00B56376"/>
    <w:rsid w:val="00B56474"/>
    <w:rsid w:val="00B572AB"/>
    <w:rsid w:val="00B60857"/>
    <w:rsid w:val="00B65120"/>
    <w:rsid w:val="00B664C7"/>
    <w:rsid w:val="00B67F1E"/>
    <w:rsid w:val="00B700A7"/>
    <w:rsid w:val="00B709DD"/>
    <w:rsid w:val="00B739F6"/>
    <w:rsid w:val="00B74C0C"/>
    <w:rsid w:val="00B75A51"/>
    <w:rsid w:val="00B761E0"/>
    <w:rsid w:val="00B769D8"/>
    <w:rsid w:val="00B81A6C"/>
    <w:rsid w:val="00B82076"/>
    <w:rsid w:val="00B84AC6"/>
    <w:rsid w:val="00B853E1"/>
    <w:rsid w:val="00B85DE5"/>
    <w:rsid w:val="00B90F73"/>
    <w:rsid w:val="00B91A6C"/>
    <w:rsid w:val="00B929E5"/>
    <w:rsid w:val="00B93B59"/>
    <w:rsid w:val="00B9406A"/>
    <w:rsid w:val="00BA2280"/>
    <w:rsid w:val="00BA2A08"/>
    <w:rsid w:val="00BA4329"/>
    <w:rsid w:val="00BA4847"/>
    <w:rsid w:val="00BA56D2"/>
    <w:rsid w:val="00BA61B7"/>
    <w:rsid w:val="00BA76E0"/>
    <w:rsid w:val="00BB2A25"/>
    <w:rsid w:val="00BB2D36"/>
    <w:rsid w:val="00BB36E4"/>
    <w:rsid w:val="00BB51E9"/>
    <w:rsid w:val="00BC0613"/>
    <w:rsid w:val="00BC0FDC"/>
    <w:rsid w:val="00BC3053"/>
    <w:rsid w:val="00BC324D"/>
    <w:rsid w:val="00BC413C"/>
    <w:rsid w:val="00BC41F8"/>
    <w:rsid w:val="00BC4D2E"/>
    <w:rsid w:val="00BC53ED"/>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F136A"/>
    <w:rsid w:val="00BF3279"/>
    <w:rsid w:val="00BF3D84"/>
    <w:rsid w:val="00BF74C7"/>
    <w:rsid w:val="00BF7642"/>
    <w:rsid w:val="00C015F1"/>
    <w:rsid w:val="00C01D5C"/>
    <w:rsid w:val="00C01F33"/>
    <w:rsid w:val="00C02A4C"/>
    <w:rsid w:val="00C02CC6"/>
    <w:rsid w:val="00C03678"/>
    <w:rsid w:val="00C040F7"/>
    <w:rsid w:val="00C044AB"/>
    <w:rsid w:val="00C0464E"/>
    <w:rsid w:val="00C04974"/>
    <w:rsid w:val="00C04E2F"/>
    <w:rsid w:val="00C05706"/>
    <w:rsid w:val="00C07377"/>
    <w:rsid w:val="00C07810"/>
    <w:rsid w:val="00C10478"/>
    <w:rsid w:val="00C115EC"/>
    <w:rsid w:val="00C12107"/>
    <w:rsid w:val="00C140D3"/>
    <w:rsid w:val="00C14D4B"/>
    <w:rsid w:val="00C14F0B"/>
    <w:rsid w:val="00C154BB"/>
    <w:rsid w:val="00C156EB"/>
    <w:rsid w:val="00C16685"/>
    <w:rsid w:val="00C2536D"/>
    <w:rsid w:val="00C25ECC"/>
    <w:rsid w:val="00C279B5"/>
    <w:rsid w:val="00C27C45"/>
    <w:rsid w:val="00C33B33"/>
    <w:rsid w:val="00C3719D"/>
    <w:rsid w:val="00C43467"/>
    <w:rsid w:val="00C4445A"/>
    <w:rsid w:val="00C456DF"/>
    <w:rsid w:val="00C4762D"/>
    <w:rsid w:val="00C47FAC"/>
    <w:rsid w:val="00C50928"/>
    <w:rsid w:val="00C52790"/>
    <w:rsid w:val="00C54995"/>
    <w:rsid w:val="00C54D41"/>
    <w:rsid w:val="00C60783"/>
    <w:rsid w:val="00C64644"/>
    <w:rsid w:val="00C64672"/>
    <w:rsid w:val="00C64B37"/>
    <w:rsid w:val="00C70697"/>
    <w:rsid w:val="00C71A38"/>
    <w:rsid w:val="00C71F71"/>
    <w:rsid w:val="00C72EF4"/>
    <w:rsid w:val="00C73202"/>
    <w:rsid w:val="00C73FA8"/>
    <w:rsid w:val="00C75D2F"/>
    <w:rsid w:val="00C75E8F"/>
    <w:rsid w:val="00C767BE"/>
    <w:rsid w:val="00C76E3C"/>
    <w:rsid w:val="00C80DD7"/>
    <w:rsid w:val="00C81568"/>
    <w:rsid w:val="00C83B70"/>
    <w:rsid w:val="00C84A6E"/>
    <w:rsid w:val="00C85A92"/>
    <w:rsid w:val="00C87E79"/>
    <w:rsid w:val="00C9027A"/>
    <w:rsid w:val="00C9058E"/>
    <w:rsid w:val="00C9068E"/>
    <w:rsid w:val="00C91CE5"/>
    <w:rsid w:val="00C92663"/>
    <w:rsid w:val="00C933DA"/>
    <w:rsid w:val="00C93ABF"/>
    <w:rsid w:val="00C93C4B"/>
    <w:rsid w:val="00C944AB"/>
    <w:rsid w:val="00C95B40"/>
    <w:rsid w:val="00C96AC5"/>
    <w:rsid w:val="00C97E62"/>
    <w:rsid w:val="00CA1068"/>
    <w:rsid w:val="00CA11E6"/>
    <w:rsid w:val="00CA1ED8"/>
    <w:rsid w:val="00CA2417"/>
    <w:rsid w:val="00CA3F48"/>
    <w:rsid w:val="00CB066C"/>
    <w:rsid w:val="00CB1945"/>
    <w:rsid w:val="00CB1C00"/>
    <w:rsid w:val="00CB1E33"/>
    <w:rsid w:val="00CB1F63"/>
    <w:rsid w:val="00CB5842"/>
    <w:rsid w:val="00CB7170"/>
    <w:rsid w:val="00CB7724"/>
    <w:rsid w:val="00CC040E"/>
    <w:rsid w:val="00CC0675"/>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561"/>
    <w:rsid w:val="00CF1354"/>
    <w:rsid w:val="00CF3154"/>
    <w:rsid w:val="00CF3B1F"/>
    <w:rsid w:val="00CF3BF6"/>
    <w:rsid w:val="00CF625B"/>
    <w:rsid w:val="00CF687E"/>
    <w:rsid w:val="00CF74E2"/>
    <w:rsid w:val="00D030F3"/>
    <w:rsid w:val="00D0349B"/>
    <w:rsid w:val="00D049E2"/>
    <w:rsid w:val="00D06D6F"/>
    <w:rsid w:val="00D07E01"/>
    <w:rsid w:val="00D10249"/>
    <w:rsid w:val="00D10702"/>
    <w:rsid w:val="00D115C3"/>
    <w:rsid w:val="00D11897"/>
    <w:rsid w:val="00D12A4B"/>
    <w:rsid w:val="00D13135"/>
    <w:rsid w:val="00D13A05"/>
    <w:rsid w:val="00D13E4E"/>
    <w:rsid w:val="00D22B56"/>
    <w:rsid w:val="00D239A7"/>
    <w:rsid w:val="00D23C44"/>
    <w:rsid w:val="00D23CF9"/>
    <w:rsid w:val="00D23F47"/>
    <w:rsid w:val="00D2409C"/>
    <w:rsid w:val="00D25A53"/>
    <w:rsid w:val="00D25B71"/>
    <w:rsid w:val="00D3338B"/>
    <w:rsid w:val="00D34033"/>
    <w:rsid w:val="00D36309"/>
    <w:rsid w:val="00D36DBB"/>
    <w:rsid w:val="00D36E71"/>
    <w:rsid w:val="00D37D87"/>
    <w:rsid w:val="00D40B33"/>
    <w:rsid w:val="00D4318F"/>
    <w:rsid w:val="00D438BF"/>
    <w:rsid w:val="00D440F8"/>
    <w:rsid w:val="00D46757"/>
    <w:rsid w:val="00D47D7E"/>
    <w:rsid w:val="00D51C9E"/>
    <w:rsid w:val="00D546FF"/>
    <w:rsid w:val="00D54AA7"/>
    <w:rsid w:val="00D54B16"/>
    <w:rsid w:val="00D55AD5"/>
    <w:rsid w:val="00D56F32"/>
    <w:rsid w:val="00D57636"/>
    <w:rsid w:val="00D576CA"/>
    <w:rsid w:val="00D57C7D"/>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2F03"/>
    <w:rsid w:val="00D7321B"/>
    <w:rsid w:val="00D756B6"/>
    <w:rsid w:val="00D75EA7"/>
    <w:rsid w:val="00D77B1D"/>
    <w:rsid w:val="00D8021F"/>
    <w:rsid w:val="00D80383"/>
    <w:rsid w:val="00D8102F"/>
    <w:rsid w:val="00D81BE9"/>
    <w:rsid w:val="00D823C6"/>
    <w:rsid w:val="00D83594"/>
    <w:rsid w:val="00D86CA3"/>
    <w:rsid w:val="00D871CE"/>
    <w:rsid w:val="00D8741A"/>
    <w:rsid w:val="00D9196D"/>
    <w:rsid w:val="00D92982"/>
    <w:rsid w:val="00D93762"/>
    <w:rsid w:val="00D9433E"/>
    <w:rsid w:val="00D94D7C"/>
    <w:rsid w:val="00DA18C5"/>
    <w:rsid w:val="00DA1CF0"/>
    <w:rsid w:val="00DA305E"/>
    <w:rsid w:val="00DA35B7"/>
    <w:rsid w:val="00DA503B"/>
    <w:rsid w:val="00DA5417"/>
    <w:rsid w:val="00DA56E8"/>
    <w:rsid w:val="00DA59C5"/>
    <w:rsid w:val="00DB07FD"/>
    <w:rsid w:val="00DB0A9F"/>
    <w:rsid w:val="00DB377D"/>
    <w:rsid w:val="00DB4C5E"/>
    <w:rsid w:val="00DB742A"/>
    <w:rsid w:val="00DB7696"/>
    <w:rsid w:val="00DC2D36"/>
    <w:rsid w:val="00DC53CC"/>
    <w:rsid w:val="00DC53EF"/>
    <w:rsid w:val="00DC5FBF"/>
    <w:rsid w:val="00DC7440"/>
    <w:rsid w:val="00DD4355"/>
    <w:rsid w:val="00DD61F7"/>
    <w:rsid w:val="00DE394D"/>
    <w:rsid w:val="00DE3DA5"/>
    <w:rsid w:val="00DE4550"/>
    <w:rsid w:val="00DE47A5"/>
    <w:rsid w:val="00DE5608"/>
    <w:rsid w:val="00DE58D0"/>
    <w:rsid w:val="00DE654F"/>
    <w:rsid w:val="00DE7131"/>
    <w:rsid w:val="00DF0B6E"/>
    <w:rsid w:val="00DF15E0"/>
    <w:rsid w:val="00DF28E5"/>
    <w:rsid w:val="00DF37A0"/>
    <w:rsid w:val="00DF4D3E"/>
    <w:rsid w:val="00DF6E1C"/>
    <w:rsid w:val="00E02C39"/>
    <w:rsid w:val="00E110E7"/>
    <w:rsid w:val="00E11B20"/>
    <w:rsid w:val="00E125FC"/>
    <w:rsid w:val="00E134CC"/>
    <w:rsid w:val="00E13986"/>
    <w:rsid w:val="00E14DE0"/>
    <w:rsid w:val="00E1543D"/>
    <w:rsid w:val="00E15C92"/>
    <w:rsid w:val="00E17FA2"/>
    <w:rsid w:val="00E20D4E"/>
    <w:rsid w:val="00E217FF"/>
    <w:rsid w:val="00E2214D"/>
    <w:rsid w:val="00E22330"/>
    <w:rsid w:val="00E22662"/>
    <w:rsid w:val="00E231AE"/>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37A4C"/>
    <w:rsid w:val="00E40EF5"/>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D05"/>
    <w:rsid w:val="00E64434"/>
    <w:rsid w:val="00E64B80"/>
    <w:rsid w:val="00E652A0"/>
    <w:rsid w:val="00E65B90"/>
    <w:rsid w:val="00E66D50"/>
    <w:rsid w:val="00E67C51"/>
    <w:rsid w:val="00E707F9"/>
    <w:rsid w:val="00E71F58"/>
    <w:rsid w:val="00E72284"/>
    <w:rsid w:val="00E72EFC"/>
    <w:rsid w:val="00E758EC"/>
    <w:rsid w:val="00E76E65"/>
    <w:rsid w:val="00E77F4A"/>
    <w:rsid w:val="00E80B4C"/>
    <w:rsid w:val="00E8234C"/>
    <w:rsid w:val="00E83AA9"/>
    <w:rsid w:val="00E85928"/>
    <w:rsid w:val="00E85A12"/>
    <w:rsid w:val="00E87822"/>
    <w:rsid w:val="00E90395"/>
    <w:rsid w:val="00E90E49"/>
    <w:rsid w:val="00E917F9"/>
    <w:rsid w:val="00E9245B"/>
    <w:rsid w:val="00E9291C"/>
    <w:rsid w:val="00E92946"/>
    <w:rsid w:val="00E93FFE"/>
    <w:rsid w:val="00E94F8A"/>
    <w:rsid w:val="00EA0790"/>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5653"/>
    <w:rsid w:val="00EC71CE"/>
    <w:rsid w:val="00EC77A7"/>
    <w:rsid w:val="00ED1006"/>
    <w:rsid w:val="00ED2A41"/>
    <w:rsid w:val="00ED578E"/>
    <w:rsid w:val="00ED5E1D"/>
    <w:rsid w:val="00EE29E6"/>
    <w:rsid w:val="00EE59C8"/>
    <w:rsid w:val="00EF025F"/>
    <w:rsid w:val="00EF09B1"/>
    <w:rsid w:val="00EF18FE"/>
    <w:rsid w:val="00EF5787"/>
    <w:rsid w:val="00EF59B8"/>
    <w:rsid w:val="00EF60D0"/>
    <w:rsid w:val="00EF73CD"/>
    <w:rsid w:val="00F00F8D"/>
    <w:rsid w:val="00F01331"/>
    <w:rsid w:val="00F02714"/>
    <w:rsid w:val="00F045AA"/>
    <w:rsid w:val="00F0528D"/>
    <w:rsid w:val="00F06C67"/>
    <w:rsid w:val="00F06DFD"/>
    <w:rsid w:val="00F071D1"/>
    <w:rsid w:val="00F07533"/>
    <w:rsid w:val="00F10629"/>
    <w:rsid w:val="00F1189E"/>
    <w:rsid w:val="00F125ED"/>
    <w:rsid w:val="00F15FA5"/>
    <w:rsid w:val="00F204A3"/>
    <w:rsid w:val="00F209B7"/>
    <w:rsid w:val="00F20C76"/>
    <w:rsid w:val="00F2118E"/>
    <w:rsid w:val="00F2136A"/>
    <w:rsid w:val="00F2376F"/>
    <w:rsid w:val="00F243D8"/>
    <w:rsid w:val="00F24C49"/>
    <w:rsid w:val="00F25B66"/>
    <w:rsid w:val="00F26BB4"/>
    <w:rsid w:val="00F30828"/>
    <w:rsid w:val="00F313D6"/>
    <w:rsid w:val="00F32F2E"/>
    <w:rsid w:val="00F33AC3"/>
    <w:rsid w:val="00F35EF1"/>
    <w:rsid w:val="00F40F0C"/>
    <w:rsid w:val="00F41D9F"/>
    <w:rsid w:val="00F4766C"/>
    <w:rsid w:val="00F47B0E"/>
    <w:rsid w:val="00F5060E"/>
    <w:rsid w:val="00F507D1"/>
    <w:rsid w:val="00F519CE"/>
    <w:rsid w:val="00F51ADA"/>
    <w:rsid w:val="00F52A16"/>
    <w:rsid w:val="00F54617"/>
    <w:rsid w:val="00F57C72"/>
    <w:rsid w:val="00F607C5"/>
    <w:rsid w:val="00F608C1"/>
    <w:rsid w:val="00F60A6E"/>
    <w:rsid w:val="00F60DEA"/>
    <w:rsid w:val="00F62344"/>
    <w:rsid w:val="00F6302A"/>
    <w:rsid w:val="00F64C2B"/>
    <w:rsid w:val="00F651BE"/>
    <w:rsid w:val="00F66B9F"/>
    <w:rsid w:val="00F66BCF"/>
    <w:rsid w:val="00F67D50"/>
    <w:rsid w:val="00F67F53"/>
    <w:rsid w:val="00F703BE"/>
    <w:rsid w:val="00F706CA"/>
    <w:rsid w:val="00F709F6"/>
    <w:rsid w:val="00F71F69"/>
    <w:rsid w:val="00F72B72"/>
    <w:rsid w:val="00F73190"/>
    <w:rsid w:val="00F74BB9"/>
    <w:rsid w:val="00F74FDE"/>
    <w:rsid w:val="00F75582"/>
    <w:rsid w:val="00F76EFA"/>
    <w:rsid w:val="00F77D4E"/>
    <w:rsid w:val="00F804BE"/>
    <w:rsid w:val="00F817CE"/>
    <w:rsid w:val="00F817FA"/>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4C4"/>
    <w:rsid w:val="00FA3BB7"/>
    <w:rsid w:val="00FA6873"/>
    <w:rsid w:val="00FA6E88"/>
    <w:rsid w:val="00FA75EC"/>
    <w:rsid w:val="00FB1696"/>
    <w:rsid w:val="00FB29E7"/>
    <w:rsid w:val="00FB4918"/>
    <w:rsid w:val="00FB4C80"/>
    <w:rsid w:val="00FB6A6A"/>
    <w:rsid w:val="00FB715C"/>
    <w:rsid w:val="00FB76F8"/>
    <w:rsid w:val="00FC58B2"/>
    <w:rsid w:val="00FC7429"/>
    <w:rsid w:val="00FD07F6"/>
    <w:rsid w:val="00FD1EC8"/>
    <w:rsid w:val="00FD2187"/>
    <w:rsid w:val="00FD3500"/>
    <w:rsid w:val="00FD47ED"/>
    <w:rsid w:val="00FD4907"/>
    <w:rsid w:val="00FD5337"/>
    <w:rsid w:val="00FD74DB"/>
    <w:rsid w:val="00FD7660"/>
    <w:rsid w:val="00FE0599"/>
    <w:rsid w:val="00FE0655"/>
    <w:rsid w:val="00FE2365"/>
    <w:rsid w:val="00FE37D7"/>
    <w:rsid w:val="00FE4C7B"/>
    <w:rsid w:val="00FE4E16"/>
    <w:rsid w:val="00FE658D"/>
    <w:rsid w:val="00FE7336"/>
    <w:rsid w:val="00FE787C"/>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97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B519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97F"/>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2.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6EE4E-7003-4031-A3E5-B64616FB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1275</Words>
  <Characters>7268</Characters>
  <Application>Microsoft Office Word</Application>
  <DocSecurity>0</DocSecurity>
  <Lines>60</Lines>
  <Paragraphs>17</Paragraphs>
  <ScaleCrop>false</ScaleCrop>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2018-08-11T03:55:00Z</dcterms:created>
  <dcterms:modified xsi:type="dcterms:W3CDTF">2018-08-11T03:55:00Z</dcterms:modified>
</cp:coreProperties>
</file>